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Raabe Kyle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586</w:t>
            </w:r>
          </w:p>
        </w:tc>
        <w:tc>
          <w:tcPr>
            <w:tcW w:w="1380" w:type="dxa"/>
            <w:tcBorders/>
            <w:vAlign w:val="center"/>
          </w:tcPr>
          <w:p>
            <w:pPr>
              <w:pStyle w:val="TableContents"/>
              <w:bidi w:val="0"/>
              <w:spacing w:before="0" w:after="283"/>
              <w:jc w:val="left"/>
              <w:rPr/>
            </w:pPr>
            <w:r>
              <w:rPr/>
              <w:t>125023.10</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08/07/2026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373</w:t>
            </w:r>
          </w:p>
        </w:tc>
        <w:tc>
          <w:tcPr>
            <w:tcW w:w="1046" w:type="dxa"/>
            <w:tcBorders/>
            <w:vAlign w:val="center"/>
          </w:tcPr>
          <w:p>
            <w:pPr>
              <w:pStyle w:val="TableContents"/>
              <w:bidi w:val="0"/>
              <w:spacing w:before="0" w:after="283"/>
              <w:jc w:val="left"/>
              <w:rPr/>
            </w:pPr>
            <w:r>
              <w:rPr/>
              <w:t>03/01/2026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213</w:t>
            </w:r>
          </w:p>
        </w:tc>
        <w:tc>
          <w:tcPr>
            <w:tcW w:w="1046" w:type="dxa"/>
            <w:tcBorders/>
            <w:vAlign w:val="center"/>
          </w:tcPr>
          <w:p>
            <w:pPr>
              <w:pStyle w:val="TableContents"/>
              <w:bidi w:val="0"/>
              <w:spacing w:before="0" w:after="283"/>
              <w:jc w:val="left"/>
              <w:rPr/>
            </w:pPr>
            <w:r>
              <w:rPr/>
              <w:t>08/07/2026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7"/>
        <w:gridCol w:w="6298"/>
      </w:tblGrid>
      <w:tr>
        <w:trPr/>
        <w:tc>
          <w:tcPr>
            <w:tcW w:w="3907" w:type="dxa"/>
            <w:tcBorders/>
            <w:vAlign w:val="center"/>
          </w:tcPr>
          <w:p>
            <w:pPr>
              <w:pStyle w:val="TableContents"/>
              <w:bidi w:val="0"/>
              <w:spacing w:before="0" w:after="283"/>
              <w:jc w:val="left"/>
              <w:rPr/>
            </w:pPr>
            <w:r>
              <w:rPr/>
              <w:t>Remarks</w:t>
            </w:r>
          </w:p>
        </w:tc>
        <w:tc>
          <w:tcPr>
            <w:tcW w:w="6298"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center"/>
          </w:tcPr>
          <w:p>
            <w:pPr>
              <w:pStyle w:val="TableContents"/>
              <w:bidi w:val="0"/>
              <w:spacing w:before="0" w:after="283"/>
              <w:jc w:val="left"/>
              <w:rPr/>
            </w:pPr>
            <w:r>
              <w:rPr/>
              <w:t>Date of Notice</w:t>
            </w:r>
          </w:p>
        </w:tc>
        <w:tc>
          <w:tcPr>
            <w:tcW w:w="6298" w:type="dxa"/>
            <w:tcBorders/>
            <w:vAlign w:val="center"/>
          </w:tcPr>
          <w:p>
            <w:pPr>
              <w:pStyle w:val="TableContents"/>
              <w:bidi w:val="0"/>
              <w:spacing w:before="0" w:after="0"/>
              <w:jc w:val="left"/>
              <w:rPr/>
            </w:pPr>
            <w:r>
              <w:rPr/>
              <w:t>08/07/2026</w:t>
            </w:r>
          </w:p>
        </w:tc>
      </w:tr>
      <w:tr>
        <w:trPr/>
        <w:tc>
          <w:tcPr>
            <w:tcW w:w="3907" w:type="dxa"/>
            <w:tcBorders/>
            <w:vAlign w:val="center"/>
          </w:tcPr>
          <w:p>
            <w:pPr>
              <w:pStyle w:val="TableContents"/>
              <w:bidi w:val="0"/>
              <w:spacing w:before="0" w:after="283"/>
              <w:jc w:val="left"/>
              <w:rPr/>
            </w:pPr>
            <w:r>
              <w:rPr/>
              <w:t>Date of Plan Adoption or Giving of Instruction, If Relying on Rule 10b5-1</w:t>
            </w:r>
          </w:p>
        </w:tc>
        <w:tc>
          <w:tcPr>
            <w:tcW w:w="6298" w:type="dxa"/>
            <w:tcBorders/>
            <w:vAlign w:val="center"/>
          </w:tcPr>
          <w:p>
            <w:pPr>
              <w:pStyle w:val="TableContents"/>
              <w:bidi w:val="0"/>
              <w:spacing w:before="0" w:after="0"/>
              <w:jc w:val="left"/>
              <w:rPr/>
            </w:pPr>
            <w:r>
              <w:rPr/>
              <w:t>05/05/2026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7" w:type="dxa"/>
            <w:tcBorders/>
            <w:vAlign w:val="center"/>
          </w:tcPr>
          <w:p>
            <w:pPr>
              <w:pStyle w:val="TableContents"/>
              <w:bidi w:val="0"/>
              <w:spacing w:before="0" w:after="283"/>
              <w:jc w:val="left"/>
              <w:rPr/>
            </w:pPr>
            <w:r>
              <w:rPr/>
              <w:t>Signature</w:t>
            </w:r>
          </w:p>
        </w:tc>
        <w:tc>
          <w:tcPr>
            <w:tcW w:w="6298" w:type="dxa"/>
            <w:tcBorders/>
            <w:vAlign w:val="center"/>
          </w:tcPr>
          <w:p>
            <w:pPr>
              <w:pStyle w:val="TableContents"/>
              <w:bidi w:val="0"/>
              <w:spacing w:before="0" w:after="0"/>
              <w:jc w:val="left"/>
              <w:rPr/>
            </w:pPr>
            <w:r>
              <w:rPr/>
              <w:t>/s/ Louis Kurnick, as a duly authorized representative of Fidelity Brokerage Services LLC, as attorney-in-fact for Kyle A. Raabe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3105</Characters>
  <CharactersWithSpaces>3652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