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gnrc20260630_10q.htm"/>
      <w:bookmarkStart w:id="1" w:name="ksgnrc20260630_10q"/>
      <w:bookmarkEnd w:id="0"/>
      <w:bookmarkEnd w:id="1"/>
      <w:r>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both"/>
        <w:rPr/>
      </w:pPr>
      <w:hyperlink w:anchor="toc">
        <w:r>
          <w:rPr>
            <w:rStyle w:val="InternetLink"/>
            <w:rFonts w:ascii="Times New Roman;Times;serif" w:hAnsi="Times New Roman;Times;serif"/>
            <w:sz w:val="20"/>
          </w:rPr>
          <w:t>Table of Contents</w:t>
        </w:r>
      </w:hyperlink>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UNITED STATES</w:t>
      </w:r>
      <w:r>
        <w:rPr>
          <w:rFonts w:ascii="Times New Roman;Times;serif" w:hAnsi="Times New Roman;Times;serif"/>
          <w:sz w:val="20"/>
        </w:rPr>
        <w:t xml:space="preserve"> </w:t>
      </w:r>
      <w:r>
        <w:rPr>
          <w:rFonts w:ascii="Times New Roman;Times;serif" w:hAnsi="Times New Roman;Times;serif"/>
          <w:b/>
          <w:sz w:val="20"/>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(Mark One)</w:t>
      </w:r>
    </w:p>
    <w:tbl>
      <w:tblPr>
        <w:tblW w:w="10105" w:type="dxa"/>
        <w:jc w:val="left"/>
        <w:tblInd w:w="0" w:type="dxa"/>
        <w:tblLayout w:type="fixed"/>
        <w:tblCellMar>
          <w:top w:w="0" w:type="dxa"/>
          <w:left w:w="0" w:type="dxa"/>
          <w:bottom w:w="0" w:type="dxa"/>
          <w:right w:w="0" w:type="dxa"/>
        </w:tblCellMar>
      </w:tblPr>
      <w:tblGrid>
        <w:gridCol w:w="230"/>
        <w:gridCol w:w="9875"/>
      </w:tblGrid>
      <w:tr>
        <w:trPr/>
        <w:tc>
          <w:tcPr>
            <w:tcW w:w="230" w:type="dxa"/>
            <w:tcBorders/>
            <w:vAlign w:val="center"/>
          </w:tcPr>
          <w:p>
            <w:pPr>
              <w:pStyle w:val="TableContents"/>
              <w:bidi w:val="0"/>
              <w:spacing w:before="0" w:after="0"/>
              <w:ind w:left="0" w:right="0" w:hanging="0"/>
              <w:jc w:val="center"/>
              <w:rPr/>
            </w:pPr>
            <w:r>
              <w:rPr/>
              <w:t>☑</w:t>
            </w:r>
          </w:p>
        </w:tc>
        <w:tc>
          <w:tcPr>
            <w:tcW w:w="987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r>
        <w:trPr/>
        <w:tc>
          <w:tcPr>
            <w:tcW w:w="230"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For the quarterly period ended</w:t>
            </w:r>
            <w:r>
              <w:rPr>
                <w:rFonts w:ascii="Times New Roman;Times;serif" w:hAnsi="Times New Roman;Times;serif"/>
                <w:sz w:val="20"/>
              </w:rPr>
              <w:t xml:space="preserve"> </w:t>
            </w:r>
            <w:r>
              <w:rPr>
                <w:rFonts w:ascii="Times New Roman;Times;serif" w:hAnsi="Times New Roman;Times;serif"/>
                <w:b/>
                <w:sz w:val="20"/>
              </w:rPr>
              <w:t>June 30, 2026</w:t>
            </w:r>
          </w:p>
        </w:tc>
      </w:tr>
      <w:tr>
        <w:trPr/>
        <w:tc>
          <w:tcPr>
            <w:tcW w:w="230"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283"/>
              <w:jc w:val="left"/>
              <w:rPr/>
            </w:pPr>
            <w:r>
              <w:rPr/>
              <w:t> </w:t>
            </w:r>
          </w:p>
        </w:tc>
      </w:tr>
      <w:tr>
        <w:trPr/>
        <w:tc>
          <w:tcPr>
            <w:tcW w:w="101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tc>
      </w:tr>
      <w:tr>
        <w:trPr/>
        <w:tc>
          <w:tcPr>
            <w:tcW w:w="230"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0"/>
              <w:ind w:left="0" w:right="0" w:hanging="0"/>
              <w:jc w:val="center"/>
              <w:rPr/>
            </w:pPr>
            <w:r>
              <w:rPr/>
              <w:t>☐</w:t>
            </w:r>
          </w:p>
        </w:tc>
        <w:tc>
          <w:tcPr>
            <w:tcW w:w="987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r>
        <w:trPr/>
        <w:tc>
          <w:tcPr>
            <w:tcW w:w="230"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For the transition period from             to</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001-34627</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Times;serif" w:hAnsi="Times New Roman;Times;serif"/>
          <w:b/>
          <w:sz w:val="48"/>
        </w:rPr>
      </w:pPr>
      <w:r>
        <w:rPr>
          <w:rFonts w:ascii="Times New Roman;Times;serif" w:hAnsi="Times New Roman;Times;serif"/>
          <w:b/>
          <w:sz w:val="48"/>
        </w:rPr>
        <w:t>GENERAC HOLDINGS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center"/>
        <w:rPr/>
      </w:pPr>
      <w:r>
        <w:rPr/>
        <w:t> </w:t>
      </w:r>
    </w:p>
    <w:tbl>
      <w:tblPr>
        <w:tblW w:w="4720" w:type="dxa"/>
        <w:jc w:val="left"/>
        <w:tblInd w:w="0" w:type="dxa"/>
        <w:tblLayout w:type="fixed"/>
        <w:tblCellMar>
          <w:top w:w="0" w:type="dxa"/>
          <w:left w:w="0" w:type="dxa"/>
          <w:bottom w:w="0" w:type="dxa"/>
          <w:right w:w="0" w:type="dxa"/>
        </w:tblCellMar>
      </w:tblPr>
      <w:tblGrid>
        <w:gridCol w:w="3200"/>
        <w:gridCol w:w="1520"/>
      </w:tblGrid>
      <w:tr>
        <w:trPr/>
        <w:tc>
          <w:tcPr>
            <w:tcW w:w="320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152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20-5654756</w:t>
            </w:r>
          </w:p>
        </w:tc>
      </w:tr>
      <w:tr>
        <w:trPr/>
        <w:tc>
          <w:tcPr>
            <w:tcW w:w="320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r>
          </w:p>
        </w:tc>
        <w:tc>
          <w:tcPr>
            <w:tcW w:w="152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tc>
      </w:tr>
      <w:tr>
        <w:trPr/>
        <w:tc>
          <w:tcPr>
            <w:tcW w:w="320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incorporation or organization)</w:t>
            </w:r>
          </w:p>
        </w:tc>
        <w:tc>
          <w:tcPr>
            <w:tcW w:w="152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r>
        <w:trPr/>
        <w:tc>
          <w:tcPr>
            <w:tcW w:w="320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S45 W29290 Hwy 59, Waukesha, WI</w:t>
            </w:r>
          </w:p>
        </w:tc>
        <w:tc>
          <w:tcPr>
            <w:tcW w:w="152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53189</w:t>
            </w:r>
          </w:p>
        </w:tc>
      </w:tr>
      <w:tr>
        <w:trPr/>
        <w:tc>
          <w:tcPr>
            <w:tcW w:w="320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52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(262) 544-4811</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 Applicable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former address and former fiscal year, if changed since last report)</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Securities registered pursuant to Section 12(b) of the Act:</w:t>
      </w:r>
    </w:p>
    <w:tbl>
      <w:tblPr>
        <w:tblW w:w="8028" w:type="dxa"/>
        <w:jc w:val="left"/>
        <w:tblInd w:w="-7" w:type="dxa"/>
        <w:tblLayout w:type="fixed"/>
        <w:tblCellMar>
          <w:top w:w="28" w:type="dxa"/>
          <w:left w:w="28" w:type="dxa"/>
          <w:bottom w:w="28" w:type="dxa"/>
          <w:right w:w="28" w:type="dxa"/>
        </w:tblCellMar>
      </w:tblPr>
      <w:tblGrid>
        <w:gridCol w:w="2791"/>
        <w:gridCol w:w="1591"/>
        <w:gridCol w:w="3646"/>
      </w:tblGrid>
      <w:tr>
        <w:trPr/>
        <w:tc>
          <w:tcPr>
            <w:tcW w:w="2791"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591"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646"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791"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Common Stock, $0.01 par value</w:t>
            </w:r>
          </w:p>
        </w:tc>
        <w:tc>
          <w:tcPr>
            <w:tcW w:w="159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GNRC</w:t>
            </w:r>
          </w:p>
        </w:tc>
        <w:tc>
          <w:tcPr>
            <w:tcW w:w="3646"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New York Stock Exchange</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pPr>
      <w:r>
        <w:rPr/>
        <w:t> </w:t>
      </w:r>
    </w:p>
    <w:tbl>
      <w:tblPr>
        <w:tblW w:w="4900" w:type="dxa"/>
        <w:jc w:val="left"/>
        <w:tblInd w:w="0" w:type="dxa"/>
        <w:tblLayout w:type="fixed"/>
        <w:tblCellMar>
          <w:top w:w="0" w:type="dxa"/>
          <w:left w:w="0" w:type="dxa"/>
          <w:bottom w:w="0" w:type="dxa"/>
          <w:right w:w="0" w:type="dxa"/>
        </w:tblCellMar>
      </w:tblPr>
      <w:tblGrid>
        <w:gridCol w:w="2450"/>
        <w:gridCol w:w="2450"/>
      </w:tblGrid>
      <w:tr>
        <w:trPr/>
        <w:tc>
          <w:tcPr>
            <w:tcW w:w="24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24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 ☐</w:t>
            </w:r>
          </w:p>
        </w:tc>
      </w:tr>
      <w:tr>
        <w:trPr/>
        <w:tc>
          <w:tcPr>
            <w:tcW w:w="24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 ☐</w:t>
            </w:r>
          </w:p>
        </w:tc>
        <w:tc>
          <w:tcPr>
            <w:tcW w:w="24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 ☐</w:t>
            </w:r>
          </w:p>
        </w:tc>
      </w:tr>
      <w:tr>
        <w:trPr/>
        <w:tc>
          <w:tcPr>
            <w:tcW w:w="24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tc>
        <w:tc>
          <w:tcPr>
            <w:tcW w:w="24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July 31, 2026, there were 59,006,361 shares of registrant's common stock outstanding.</w:t>
      </w:r>
    </w:p>
    <w:p>
      <w:pPr>
        <w:pStyle w:val="TextBody"/>
        <w:bidi w:val="0"/>
        <w:spacing w:before="0" w:after="0"/>
        <w:ind w:left="0" w:right="0" w:hanging="0"/>
        <w:jc w:val="both"/>
        <w:rPr/>
      </w:pPr>
      <w:r>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2" w:name="toc"/>
      <w:bookmarkEnd w:id="2"/>
      <w:r>
        <w:rPr>
          <w:rFonts w:ascii="Times New Roman;Times;serif" w:hAnsi="Times New Roman;Times;serif"/>
          <w:b/>
          <w:sz w:val="20"/>
        </w:rPr>
        <w:t>GENERAC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TABLE OF CONTENTS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62"/>
        <w:gridCol w:w="9002"/>
        <w:gridCol w:w="441"/>
      </w:tblGrid>
      <w:tr>
        <w:trPr/>
        <w:tc>
          <w:tcPr>
            <w:tcW w:w="9764" w:type="dxa"/>
            <w:gridSpan w:val="2"/>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10205" w:type="dxa"/>
            <w:gridSpan w:val="3"/>
            <w:tcBorders/>
            <w:vAlign w:val="center"/>
          </w:tcPr>
          <w:p>
            <w:pPr>
              <w:pStyle w:val="TableContents"/>
              <w:bidi w:val="0"/>
              <w:spacing w:before="0" w:after="0"/>
              <w:ind w:left="0" w:right="0" w:hanging="0"/>
              <w:jc w:val="center"/>
              <w:rPr/>
            </w:pPr>
            <w:hyperlink w:anchor="part1">
              <w:r>
                <w:rPr>
                  <w:rStyle w:val="InternetLink"/>
                  <w:rFonts w:ascii="Times New Roman;Times;serif" w:hAnsi="Times New Roman;Times;serif"/>
                  <w:b/>
                  <w:sz w:val="20"/>
                </w:rPr>
                <w:t>PART I. FINANCIAL INFORMATION</w:t>
              </w:r>
            </w:hyperlink>
          </w:p>
        </w:tc>
      </w:tr>
      <w:tr>
        <w:trPr/>
        <w:tc>
          <w:tcPr>
            <w:tcW w:w="762" w:type="dxa"/>
            <w:tcBorders/>
            <w:vAlign w:val="center"/>
          </w:tcPr>
          <w:p>
            <w:pPr>
              <w:pStyle w:val="TableContents"/>
              <w:bidi w:val="0"/>
              <w:spacing w:before="0" w:after="283"/>
              <w:jc w:val="left"/>
              <w:rPr/>
            </w:pPr>
            <w:r>
              <w:rPr/>
              <w:t> </w:t>
            </w:r>
          </w:p>
        </w:tc>
        <w:tc>
          <w:tcPr>
            <w:tcW w:w="9002"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762" w:type="dxa"/>
            <w:tcBorders/>
            <w:vAlign w:val="center"/>
          </w:tcPr>
          <w:p>
            <w:pPr>
              <w:pStyle w:val="TableContents"/>
              <w:bidi w:val="0"/>
              <w:spacing w:before="0" w:after="0"/>
              <w:ind w:left="101" w:right="101" w:hanging="101"/>
              <w:jc w:val="left"/>
              <w:rPr>
                <w:rFonts w:ascii="Times New Roman;Times;serif" w:hAnsi="Times New Roman;Times;serif"/>
                <w:sz w:val="20"/>
              </w:rPr>
            </w:pPr>
            <w:r>
              <w:rPr>
                <w:rFonts w:ascii="Times New Roman;Times;serif" w:hAnsi="Times New Roman;Times;serif"/>
                <w:sz w:val="20"/>
              </w:rPr>
              <w:t>Item 1.</w:t>
            </w:r>
          </w:p>
        </w:tc>
        <w:tc>
          <w:tcPr>
            <w:tcW w:w="9002" w:type="dxa"/>
            <w:tcBorders/>
            <w:vAlign w:val="center"/>
          </w:tcPr>
          <w:p>
            <w:pPr>
              <w:pStyle w:val="TableContents"/>
              <w:bidi w:val="0"/>
              <w:spacing w:before="0" w:after="0"/>
              <w:ind w:left="0" w:right="0" w:hanging="0"/>
              <w:jc w:val="both"/>
              <w:rPr/>
            </w:pPr>
            <w:hyperlink w:anchor="part1">
              <w:r>
                <w:rPr>
                  <w:rStyle w:val="InternetLink"/>
                  <w:rFonts w:ascii="Times New Roman;Times;serif" w:hAnsi="Times New Roman;Times;serif"/>
                  <w:sz w:val="20"/>
                </w:rPr>
                <w:t>Financial Statements</w:t>
              </w:r>
            </w:hyperlink>
          </w:p>
        </w:tc>
        <w:tc>
          <w:tcPr>
            <w:tcW w:w="441" w:type="dxa"/>
            <w:tcBorders/>
            <w:vAlign w:val="center"/>
          </w:tcPr>
          <w:p>
            <w:pPr>
              <w:pStyle w:val="TableContents"/>
              <w:bidi w:val="0"/>
              <w:spacing w:before="0" w:after="283"/>
              <w:jc w:val="left"/>
              <w:rPr/>
            </w:pPr>
            <w:r>
              <w:rPr/>
              <w:t> </w:t>
            </w:r>
          </w:p>
        </w:tc>
      </w:tr>
      <w:tr>
        <w:trPr/>
        <w:tc>
          <w:tcPr>
            <w:tcW w:w="762" w:type="dxa"/>
            <w:tcBorders/>
            <w:vAlign w:val="center"/>
          </w:tcPr>
          <w:p>
            <w:pPr>
              <w:pStyle w:val="TableContents"/>
              <w:bidi w:val="0"/>
              <w:spacing w:before="0" w:after="283"/>
              <w:jc w:val="left"/>
              <w:rPr/>
            </w:pPr>
            <w:r>
              <w:rPr/>
              <w:t> </w:t>
            </w:r>
          </w:p>
        </w:tc>
        <w:tc>
          <w:tcPr>
            <w:tcW w:w="9002"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762" w:type="dxa"/>
            <w:tcBorders/>
            <w:vAlign w:val="center"/>
          </w:tcPr>
          <w:p>
            <w:pPr>
              <w:pStyle w:val="TableContents"/>
              <w:bidi w:val="0"/>
              <w:spacing w:before="0" w:after="283"/>
              <w:jc w:val="left"/>
              <w:rPr/>
            </w:pPr>
            <w:r>
              <w:rPr/>
              <w:t> </w:t>
            </w:r>
          </w:p>
        </w:tc>
        <w:tc>
          <w:tcPr>
            <w:tcW w:w="9002" w:type="dxa"/>
            <w:tcBorders/>
            <w:vAlign w:val="center"/>
          </w:tcPr>
          <w:p>
            <w:pPr>
              <w:pStyle w:val="TableContents"/>
              <w:bidi w:val="0"/>
              <w:spacing w:before="0" w:after="0"/>
              <w:ind w:left="0" w:right="0" w:hanging="0"/>
              <w:jc w:val="both"/>
              <w:rPr/>
            </w:pPr>
            <w:hyperlink w:anchor="part1">
              <w:r>
                <w:rPr>
                  <w:rStyle w:val="InternetLink"/>
                  <w:rFonts w:ascii="Times New Roman;Times;serif" w:hAnsi="Times New Roman;Times;serif"/>
                  <w:sz w:val="20"/>
                </w:rPr>
                <w:t>Condensed Consolidated Balance Sheets as of June 30, 2026 and December 31, 2025</w:t>
              </w:r>
            </w:hyperlink>
          </w:p>
        </w:tc>
        <w:tc>
          <w:tcPr>
            <w:tcW w:w="441" w:type="dxa"/>
            <w:tcBorders/>
            <w:vAlign w:val="center"/>
          </w:tcPr>
          <w:p>
            <w:pPr>
              <w:pStyle w:val="TableContents"/>
              <w:bidi w:val="0"/>
              <w:spacing w:before="0" w:after="0"/>
              <w:ind w:left="0" w:right="0" w:hanging="0"/>
              <w:jc w:val="center"/>
              <w:rPr/>
            </w:pPr>
            <w:hyperlink w:anchor="part1">
              <w:r>
                <w:rPr>
                  <w:rStyle w:val="InternetLink"/>
                  <w:rFonts w:ascii="Times New Roman;Times;serif" w:hAnsi="Times New Roman;Times;serif"/>
                  <w:sz w:val="20"/>
                </w:rPr>
                <w:t>1</w:t>
              </w:r>
            </w:hyperlink>
          </w:p>
        </w:tc>
      </w:tr>
      <w:tr>
        <w:trPr/>
        <w:tc>
          <w:tcPr>
            <w:tcW w:w="762" w:type="dxa"/>
            <w:tcBorders/>
            <w:vAlign w:val="center"/>
          </w:tcPr>
          <w:p>
            <w:pPr>
              <w:pStyle w:val="TableContents"/>
              <w:bidi w:val="0"/>
              <w:spacing w:before="0" w:after="283"/>
              <w:jc w:val="left"/>
              <w:rPr/>
            </w:pPr>
            <w:r>
              <w:rPr/>
              <w:t> </w:t>
            </w:r>
          </w:p>
        </w:tc>
        <w:tc>
          <w:tcPr>
            <w:tcW w:w="9002"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762" w:type="dxa"/>
            <w:tcBorders/>
            <w:vAlign w:val="center"/>
          </w:tcPr>
          <w:p>
            <w:pPr>
              <w:pStyle w:val="TableContents"/>
              <w:bidi w:val="0"/>
              <w:spacing w:before="0" w:after="283"/>
              <w:jc w:val="left"/>
              <w:rPr/>
            </w:pPr>
            <w:r>
              <w:rPr/>
              <w:t> </w:t>
            </w:r>
          </w:p>
        </w:tc>
        <w:tc>
          <w:tcPr>
            <w:tcW w:w="9002" w:type="dxa"/>
            <w:tcBorders/>
            <w:vAlign w:val="center"/>
          </w:tcPr>
          <w:p>
            <w:pPr>
              <w:pStyle w:val="TableContents"/>
              <w:bidi w:val="0"/>
              <w:spacing w:before="0" w:after="0"/>
              <w:ind w:left="0" w:right="0" w:hanging="0"/>
              <w:jc w:val="both"/>
              <w:rPr/>
            </w:pPr>
            <w:hyperlink w:anchor="compinc">
              <w:r>
                <w:rPr>
                  <w:rStyle w:val="InternetLink"/>
                  <w:rFonts w:ascii="Times New Roman;Times;serif" w:hAnsi="Times New Roman;Times;serif"/>
                  <w:sz w:val="20"/>
                </w:rPr>
                <w:t>Condensed Consolidated Statements of Comprehensive Income for the Three and Six Months Ended June 30</w:t>
              </w:r>
            </w:hyperlink>
            <w:hyperlink w:anchor="compinc">
              <w:r>
                <w:rPr>
                  <w:rStyle w:val="InternetLink"/>
                  <w:rFonts w:ascii="Times New Roman;Times;serif" w:hAnsi="Times New Roman;Times;serif"/>
                  <w:sz w:val="20"/>
                </w:rPr>
                <w:t>, 2026 and 2025</w:t>
              </w:r>
            </w:hyperlink>
          </w:p>
        </w:tc>
        <w:tc>
          <w:tcPr>
            <w:tcW w:w="441" w:type="dxa"/>
            <w:tcBorders/>
            <w:vAlign w:val="center"/>
          </w:tcPr>
          <w:p>
            <w:pPr>
              <w:pStyle w:val="TableContents"/>
              <w:bidi w:val="0"/>
              <w:spacing w:before="0" w:after="0"/>
              <w:ind w:left="0" w:right="0" w:hanging="0"/>
              <w:jc w:val="center"/>
              <w:rPr/>
            </w:pPr>
            <w:hyperlink w:anchor="compinc">
              <w:r>
                <w:rPr>
                  <w:rStyle w:val="InternetLink"/>
                  <w:rFonts w:ascii="Times New Roman;Times;serif" w:hAnsi="Times New Roman;Times;serif"/>
                  <w:sz w:val="20"/>
                </w:rPr>
                <w:t>2</w:t>
              </w:r>
            </w:hyperlink>
          </w:p>
        </w:tc>
      </w:tr>
      <w:tr>
        <w:trPr/>
        <w:tc>
          <w:tcPr>
            <w:tcW w:w="762" w:type="dxa"/>
            <w:tcBorders/>
            <w:vAlign w:val="center"/>
          </w:tcPr>
          <w:p>
            <w:pPr>
              <w:pStyle w:val="TableContents"/>
              <w:bidi w:val="0"/>
              <w:spacing w:before="0" w:after="283"/>
              <w:jc w:val="left"/>
              <w:rPr/>
            </w:pPr>
            <w:r>
              <w:rPr/>
              <w:t> </w:t>
            </w:r>
          </w:p>
        </w:tc>
        <w:tc>
          <w:tcPr>
            <w:tcW w:w="9002"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762" w:type="dxa"/>
            <w:tcBorders/>
            <w:vAlign w:val="center"/>
          </w:tcPr>
          <w:p>
            <w:pPr>
              <w:pStyle w:val="TableContents"/>
              <w:bidi w:val="0"/>
              <w:spacing w:before="0" w:after="283"/>
              <w:jc w:val="left"/>
              <w:rPr/>
            </w:pPr>
            <w:r>
              <w:rPr/>
              <w:t> </w:t>
            </w:r>
          </w:p>
        </w:tc>
        <w:tc>
          <w:tcPr>
            <w:tcW w:w="9002" w:type="dxa"/>
            <w:tcBorders/>
            <w:vAlign w:val="center"/>
          </w:tcPr>
          <w:p>
            <w:pPr>
              <w:pStyle w:val="TableContents"/>
              <w:bidi w:val="0"/>
              <w:spacing w:before="0" w:after="0"/>
              <w:ind w:left="0" w:right="0" w:hanging="0"/>
              <w:jc w:val="both"/>
              <w:rPr/>
            </w:pPr>
            <w:hyperlink w:anchor="equity">
              <w:r>
                <w:rPr>
                  <w:rStyle w:val="InternetLink"/>
                  <w:rFonts w:ascii="Times New Roman;Times;serif" w:hAnsi="Times New Roman;Times;serif"/>
                  <w:sz w:val="20"/>
                </w:rPr>
                <w:t>Condensed Consolidated Statements of Stockholders' Equity for the Three and Six Months Ended June 30,</w:t>
              </w:r>
            </w:hyperlink>
            <w:hyperlink w:anchor="equity">
              <w:r>
                <w:rPr>
                  <w:rStyle w:val="InternetLink"/>
                  <w:rFonts w:ascii="Times New Roman;Times;serif" w:hAnsi="Times New Roman;Times;serif"/>
                  <w:sz w:val="20"/>
                </w:rPr>
                <w:t> 2026 and 2025</w:t>
              </w:r>
            </w:hyperlink>
          </w:p>
        </w:tc>
        <w:tc>
          <w:tcPr>
            <w:tcW w:w="441" w:type="dxa"/>
            <w:tcBorders/>
            <w:vAlign w:val="center"/>
          </w:tcPr>
          <w:p>
            <w:pPr>
              <w:pStyle w:val="TableContents"/>
              <w:bidi w:val="0"/>
              <w:spacing w:before="0" w:after="0"/>
              <w:ind w:left="0" w:right="0" w:hanging="0"/>
              <w:jc w:val="center"/>
              <w:rPr/>
            </w:pPr>
            <w:hyperlink w:anchor="equity">
              <w:r>
                <w:rPr>
                  <w:rStyle w:val="InternetLink"/>
                  <w:rFonts w:ascii="Times New Roman;Times;serif" w:hAnsi="Times New Roman;Times;serif"/>
                  <w:sz w:val="20"/>
                </w:rPr>
                <w:t>3</w:t>
              </w:r>
            </w:hyperlink>
          </w:p>
        </w:tc>
      </w:tr>
      <w:tr>
        <w:trPr/>
        <w:tc>
          <w:tcPr>
            <w:tcW w:w="762" w:type="dxa"/>
            <w:tcBorders/>
            <w:vAlign w:val="center"/>
          </w:tcPr>
          <w:p>
            <w:pPr>
              <w:pStyle w:val="TableContents"/>
              <w:bidi w:val="0"/>
              <w:spacing w:before="0" w:after="283"/>
              <w:jc w:val="left"/>
              <w:rPr/>
            </w:pPr>
            <w:r>
              <w:rPr/>
              <w:t> </w:t>
            </w:r>
          </w:p>
        </w:tc>
        <w:tc>
          <w:tcPr>
            <w:tcW w:w="9002"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762" w:type="dxa"/>
            <w:tcBorders/>
            <w:vAlign w:val="center"/>
          </w:tcPr>
          <w:p>
            <w:pPr>
              <w:pStyle w:val="TableContents"/>
              <w:bidi w:val="0"/>
              <w:spacing w:before="0" w:after="283"/>
              <w:jc w:val="left"/>
              <w:rPr/>
            </w:pPr>
            <w:r>
              <w:rPr/>
              <w:t> </w:t>
            </w:r>
          </w:p>
        </w:tc>
        <w:tc>
          <w:tcPr>
            <w:tcW w:w="9002" w:type="dxa"/>
            <w:tcBorders/>
            <w:vAlign w:val="center"/>
          </w:tcPr>
          <w:p>
            <w:pPr>
              <w:pStyle w:val="TableContents"/>
              <w:bidi w:val="0"/>
              <w:spacing w:before="0" w:after="0"/>
              <w:ind w:left="0" w:right="0" w:hanging="0"/>
              <w:jc w:val="left"/>
              <w:rPr/>
            </w:pPr>
            <w:hyperlink w:anchor="cf">
              <w:r>
                <w:rPr>
                  <w:rStyle w:val="InternetLink"/>
                  <w:rFonts w:ascii="Times New Roman;Times;serif" w:hAnsi="Times New Roman;Times;serif"/>
                  <w:sz w:val="20"/>
                </w:rPr>
                <w:t>Condensed Consolidated Statements of Cash Flows for the Six Months Ended June 30, </w:t>
              </w:r>
            </w:hyperlink>
            <w:hyperlink w:anchor="cf">
              <w:r>
                <w:rPr>
                  <w:rStyle w:val="InternetLink"/>
                  <w:rFonts w:ascii="Times New Roman;Times;serif" w:hAnsi="Times New Roman;Times;serif"/>
                  <w:sz w:val="20"/>
                </w:rPr>
                <w:t>2026 and 2025</w:t>
              </w:r>
            </w:hyperlink>
          </w:p>
        </w:tc>
        <w:tc>
          <w:tcPr>
            <w:tcW w:w="441" w:type="dxa"/>
            <w:tcBorders/>
            <w:vAlign w:val="center"/>
          </w:tcPr>
          <w:p>
            <w:pPr>
              <w:pStyle w:val="TableContents"/>
              <w:bidi w:val="0"/>
              <w:spacing w:before="0" w:after="0"/>
              <w:ind w:left="0" w:right="0" w:hanging="0"/>
              <w:jc w:val="center"/>
              <w:rPr/>
            </w:pPr>
            <w:hyperlink w:anchor="cf">
              <w:r>
                <w:rPr>
                  <w:rStyle w:val="InternetLink"/>
                  <w:rFonts w:ascii="Times New Roman;Times;serif" w:hAnsi="Times New Roman;Times;serif"/>
                  <w:sz w:val="20"/>
                </w:rPr>
                <w:t>6</w:t>
              </w:r>
            </w:hyperlink>
          </w:p>
        </w:tc>
      </w:tr>
      <w:tr>
        <w:trPr/>
        <w:tc>
          <w:tcPr>
            <w:tcW w:w="762" w:type="dxa"/>
            <w:tcBorders/>
            <w:vAlign w:val="center"/>
          </w:tcPr>
          <w:p>
            <w:pPr>
              <w:pStyle w:val="TableContents"/>
              <w:bidi w:val="0"/>
              <w:spacing w:before="0" w:after="283"/>
              <w:jc w:val="left"/>
              <w:rPr/>
            </w:pPr>
            <w:r>
              <w:rPr/>
              <w:t> </w:t>
            </w:r>
          </w:p>
        </w:tc>
        <w:tc>
          <w:tcPr>
            <w:tcW w:w="9002"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762" w:type="dxa"/>
            <w:tcBorders/>
            <w:vAlign w:val="center"/>
          </w:tcPr>
          <w:p>
            <w:pPr>
              <w:pStyle w:val="TableContents"/>
              <w:bidi w:val="0"/>
              <w:spacing w:before="0" w:after="283"/>
              <w:jc w:val="left"/>
              <w:rPr/>
            </w:pPr>
            <w:r>
              <w:rPr/>
              <w:t> </w:t>
            </w:r>
          </w:p>
        </w:tc>
        <w:tc>
          <w:tcPr>
            <w:tcW w:w="9002" w:type="dxa"/>
            <w:tcBorders/>
            <w:vAlign w:val="center"/>
          </w:tcPr>
          <w:p>
            <w:pPr>
              <w:pStyle w:val="TableContents"/>
              <w:bidi w:val="0"/>
              <w:spacing w:before="0" w:after="0"/>
              <w:ind w:left="0" w:right="0" w:hanging="0"/>
              <w:jc w:val="both"/>
              <w:rPr/>
            </w:pPr>
            <w:hyperlink w:anchor="notes">
              <w:r>
                <w:rPr>
                  <w:rStyle w:val="InternetLink"/>
                  <w:rFonts w:ascii="Times New Roman;Times;serif" w:hAnsi="Times New Roman;Times;serif"/>
                  <w:sz w:val="20"/>
                </w:rPr>
                <w:t>Notes to Condensed Consolidated Financial Statements</w:t>
              </w:r>
            </w:hyperlink>
          </w:p>
        </w:tc>
        <w:tc>
          <w:tcPr>
            <w:tcW w:w="441" w:type="dxa"/>
            <w:tcBorders/>
            <w:vAlign w:val="center"/>
          </w:tcPr>
          <w:p>
            <w:pPr>
              <w:pStyle w:val="TableContents"/>
              <w:bidi w:val="0"/>
              <w:spacing w:before="0" w:after="0"/>
              <w:ind w:left="0" w:right="0" w:hanging="0"/>
              <w:jc w:val="center"/>
              <w:rPr/>
            </w:pPr>
            <w:hyperlink w:anchor="notes">
              <w:r>
                <w:rPr>
                  <w:rStyle w:val="InternetLink"/>
                  <w:rFonts w:ascii="Times New Roman;Times;serif" w:hAnsi="Times New Roman;Times;serif"/>
                  <w:sz w:val="20"/>
                </w:rPr>
                <w:t>7</w:t>
              </w:r>
            </w:hyperlink>
          </w:p>
        </w:tc>
      </w:tr>
      <w:tr>
        <w:trPr/>
        <w:tc>
          <w:tcPr>
            <w:tcW w:w="762" w:type="dxa"/>
            <w:tcBorders/>
            <w:vAlign w:val="center"/>
          </w:tcPr>
          <w:p>
            <w:pPr>
              <w:pStyle w:val="TableContents"/>
              <w:bidi w:val="0"/>
              <w:spacing w:before="0" w:after="283"/>
              <w:jc w:val="left"/>
              <w:rPr/>
            </w:pPr>
            <w:r>
              <w:rPr/>
              <w:t> </w:t>
            </w:r>
          </w:p>
        </w:tc>
        <w:tc>
          <w:tcPr>
            <w:tcW w:w="9002"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762" w:type="dxa"/>
            <w:tcBorders/>
            <w:vAlign w:val="center"/>
          </w:tcPr>
          <w:p>
            <w:pPr>
              <w:pStyle w:val="TableContents"/>
              <w:bidi w:val="0"/>
              <w:spacing w:before="0" w:after="0"/>
              <w:ind w:left="101" w:right="101" w:hanging="101"/>
              <w:jc w:val="left"/>
              <w:rPr>
                <w:rFonts w:ascii="Times New Roman;Times;serif" w:hAnsi="Times New Roman;Times;serif"/>
                <w:sz w:val="20"/>
              </w:rPr>
            </w:pPr>
            <w:r>
              <w:rPr>
                <w:rFonts w:ascii="Times New Roman;Times;serif" w:hAnsi="Times New Roman;Times;serif"/>
                <w:sz w:val="20"/>
              </w:rPr>
              <w:t>Item 2.</w:t>
            </w:r>
          </w:p>
        </w:tc>
        <w:tc>
          <w:tcPr>
            <w:tcW w:w="9002" w:type="dxa"/>
            <w:tcBorders/>
            <w:vAlign w:val="center"/>
          </w:tcPr>
          <w:p>
            <w:pPr>
              <w:pStyle w:val="TableContents"/>
              <w:bidi w:val="0"/>
              <w:spacing w:before="0" w:after="0"/>
              <w:ind w:left="0" w:right="0" w:hanging="0"/>
              <w:jc w:val="both"/>
              <w:rPr/>
            </w:pPr>
            <w:hyperlink w:anchor="item2">
              <w:r>
                <w:rPr>
                  <w:rStyle w:val="InternetLink"/>
                  <w:rFonts w:ascii="Times New Roman;Times;serif" w:hAnsi="Times New Roman;Times;serif"/>
                  <w:sz w:val="20"/>
                </w:rPr>
                <w:t>Management's Discussion and Analysis of Financial Condition and Results of Operations</w:t>
              </w:r>
            </w:hyperlink>
          </w:p>
        </w:tc>
        <w:tc>
          <w:tcPr>
            <w:tcW w:w="441" w:type="dxa"/>
            <w:tcBorders/>
            <w:vAlign w:val="center"/>
          </w:tcPr>
          <w:p>
            <w:pPr>
              <w:pStyle w:val="TableContents"/>
              <w:bidi w:val="0"/>
              <w:spacing w:before="0" w:after="0"/>
              <w:ind w:left="0" w:right="0" w:hanging="0"/>
              <w:jc w:val="center"/>
              <w:rPr/>
            </w:pPr>
            <w:hyperlink w:anchor="item2">
              <w:r>
                <w:rPr>
                  <w:rStyle w:val="InternetLink"/>
                  <w:rFonts w:ascii="Times New Roman;Times;serif" w:hAnsi="Times New Roman;Times;serif"/>
                  <w:sz w:val="20"/>
                </w:rPr>
                <w:t>21</w:t>
              </w:r>
            </w:hyperlink>
          </w:p>
        </w:tc>
      </w:tr>
      <w:tr>
        <w:trPr/>
        <w:tc>
          <w:tcPr>
            <w:tcW w:w="762" w:type="dxa"/>
            <w:tcBorders/>
            <w:vAlign w:val="center"/>
          </w:tcPr>
          <w:p>
            <w:pPr>
              <w:pStyle w:val="TableContents"/>
              <w:bidi w:val="0"/>
              <w:spacing w:before="0" w:after="283"/>
              <w:jc w:val="left"/>
              <w:rPr/>
            </w:pPr>
            <w:r>
              <w:rPr/>
              <w:t> </w:t>
            </w:r>
          </w:p>
        </w:tc>
        <w:tc>
          <w:tcPr>
            <w:tcW w:w="9002"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762" w:type="dxa"/>
            <w:tcBorders/>
            <w:vAlign w:val="center"/>
          </w:tcPr>
          <w:p>
            <w:pPr>
              <w:pStyle w:val="TableContents"/>
              <w:bidi w:val="0"/>
              <w:spacing w:before="0" w:after="0"/>
              <w:ind w:left="101" w:right="101" w:hanging="101"/>
              <w:jc w:val="left"/>
              <w:rPr>
                <w:rFonts w:ascii="Times New Roman;Times;serif" w:hAnsi="Times New Roman;Times;serif"/>
                <w:sz w:val="20"/>
              </w:rPr>
            </w:pPr>
            <w:r>
              <w:rPr>
                <w:rFonts w:ascii="Times New Roman;Times;serif" w:hAnsi="Times New Roman;Times;serif"/>
                <w:sz w:val="20"/>
              </w:rPr>
              <w:t>Item 3.</w:t>
            </w:r>
          </w:p>
        </w:tc>
        <w:tc>
          <w:tcPr>
            <w:tcW w:w="9002" w:type="dxa"/>
            <w:tcBorders/>
            <w:vAlign w:val="center"/>
          </w:tcPr>
          <w:p>
            <w:pPr>
              <w:pStyle w:val="TableContents"/>
              <w:bidi w:val="0"/>
              <w:spacing w:before="0" w:after="0"/>
              <w:ind w:left="0" w:right="0" w:hanging="0"/>
              <w:jc w:val="both"/>
              <w:rPr/>
            </w:pPr>
            <w:hyperlink w:anchor="item3">
              <w:r>
                <w:rPr>
                  <w:rStyle w:val="InternetLink"/>
                  <w:rFonts w:ascii="Times New Roman;Times;serif" w:hAnsi="Times New Roman;Times;serif"/>
                  <w:sz w:val="20"/>
                </w:rPr>
                <w:t>Quantitative and Qualitative Disclosures About Market Risk</w:t>
              </w:r>
            </w:hyperlink>
          </w:p>
        </w:tc>
        <w:tc>
          <w:tcPr>
            <w:tcW w:w="441" w:type="dxa"/>
            <w:tcBorders/>
            <w:vAlign w:val="center"/>
          </w:tcPr>
          <w:p>
            <w:pPr>
              <w:pStyle w:val="TableContents"/>
              <w:bidi w:val="0"/>
              <w:spacing w:before="0" w:after="0"/>
              <w:ind w:left="0" w:right="0" w:hanging="0"/>
              <w:jc w:val="center"/>
              <w:rPr/>
            </w:pPr>
            <w:hyperlink w:anchor="item3">
              <w:r>
                <w:rPr>
                  <w:rStyle w:val="InternetLink"/>
                  <w:rFonts w:ascii="Times New Roman;Times;serif" w:hAnsi="Times New Roman;Times;serif"/>
                  <w:sz w:val="20"/>
                </w:rPr>
                <w:t>34</w:t>
              </w:r>
            </w:hyperlink>
          </w:p>
        </w:tc>
      </w:tr>
      <w:tr>
        <w:trPr/>
        <w:tc>
          <w:tcPr>
            <w:tcW w:w="762" w:type="dxa"/>
            <w:tcBorders/>
            <w:vAlign w:val="center"/>
          </w:tcPr>
          <w:p>
            <w:pPr>
              <w:pStyle w:val="TableContents"/>
              <w:bidi w:val="0"/>
              <w:spacing w:before="0" w:after="283"/>
              <w:jc w:val="left"/>
              <w:rPr/>
            </w:pPr>
            <w:r>
              <w:rPr/>
              <w:t> </w:t>
            </w:r>
          </w:p>
        </w:tc>
        <w:tc>
          <w:tcPr>
            <w:tcW w:w="9002"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762" w:type="dxa"/>
            <w:tcBorders/>
            <w:vAlign w:val="center"/>
          </w:tcPr>
          <w:p>
            <w:pPr>
              <w:pStyle w:val="TableContents"/>
              <w:bidi w:val="0"/>
              <w:spacing w:before="0" w:after="0"/>
              <w:ind w:left="101" w:right="101" w:hanging="101"/>
              <w:jc w:val="left"/>
              <w:rPr>
                <w:rFonts w:ascii="Times New Roman;Times;serif" w:hAnsi="Times New Roman;Times;serif"/>
                <w:sz w:val="20"/>
              </w:rPr>
            </w:pPr>
            <w:r>
              <w:rPr>
                <w:rFonts w:ascii="Times New Roman;Times;serif" w:hAnsi="Times New Roman;Times;serif"/>
                <w:sz w:val="20"/>
              </w:rPr>
              <w:t>Item 4.</w:t>
            </w:r>
          </w:p>
        </w:tc>
        <w:tc>
          <w:tcPr>
            <w:tcW w:w="9002" w:type="dxa"/>
            <w:tcBorders/>
            <w:vAlign w:val="center"/>
          </w:tcPr>
          <w:p>
            <w:pPr>
              <w:pStyle w:val="TableContents"/>
              <w:bidi w:val="0"/>
              <w:spacing w:before="0" w:after="0"/>
              <w:ind w:left="0" w:right="0" w:hanging="0"/>
              <w:jc w:val="both"/>
              <w:rPr/>
            </w:pPr>
            <w:hyperlink w:anchor="item4">
              <w:r>
                <w:rPr>
                  <w:rStyle w:val="InternetLink"/>
                  <w:rFonts w:ascii="Times New Roman;Times;serif" w:hAnsi="Times New Roman;Times;serif"/>
                  <w:sz w:val="20"/>
                </w:rPr>
                <w:t>Controls and Procedures</w:t>
              </w:r>
            </w:hyperlink>
          </w:p>
        </w:tc>
        <w:tc>
          <w:tcPr>
            <w:tcW w:w="441" w:type="dxa"/>
            <w:tcBorders/>
            <w:vAlign w:val="center"/>
          </w:tcPr>
          <w:p>
            <w:pPr>
              <w:pStyle w:val="TableContents"/>
              <w:bidi w:val="0"/>
              <w:spacing w:before="0" w:after="0"/>
              <w:ind w:left="0" w:right="0" w:hanging="0"/>
              <w:jc w:val="center"/>
              <w:rPr/>
            </w:pPr>
            <w:hyperlink w:anchor="item4">
              <w:r>
                <w:rPr>
                  <w:rStyle w:val="InternetLink"/>
                  <w:rFonts w:ascii="Times New Roman;Times;serif" w:hAnsi="Times New Roman;Times;serif"/>
                  <w:sz w:val="20"/>
                </w:rPr>
                <w:t>34</w:t>
              </w:r>
            </w:hyperlink>
          </w:p>
        </w:tc>
      </w:tr>
      <w:tr>
        <w:trPr/>
        <w:tc>
          <w:tcPr>
            <w:tcW w:w="9764" w:type="dxa"/>
            <w:gridSpan w:val="2"/>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10205" w:type="dxa"/>
            <w:gridSpan w:val="3"/>
            <w:tcBorders/>
            <w:vAlign w:val="center"/>
          </w:tcPr>
          <w:p>
            <w:pPr>
              <w:pStyle w:val="TableContents"/>
              <w:bidi w:val="0"/>
              <w:spacing w:before="0" w:after="0"/>
              <w:ind w:left="0" w:right="0" w:hanging="0"/>
              <w:jc w:val="center"/>
              <w:rPr/>
            </w:pPr>
            <w:hyperlink w:anchor="part2">
              <w:r>
                <w:rPr>
                  <w:rStyle w:val="InternetLink"/>
                  <w:rFonts w:ascii="Times New Roman;Times;serif" w:hAnsi="Times New Roman;Times;serif"/>
                  <w:b/>
                  <w:sz w:val="20"/>
                </w:rPr>
                <w:t>PART II. OTHER INFORMATION</w:t>
              </w:r>
            </w:hyperlink>
          </w:p>
        </w:tc>
      </w:tr>
      <w:tr>
        <w:trPr/>
        <w:tc>
          <w:tcPr>
            <w:tcW w:w="762" w:type="dxa"/>
            <w:tcBorders/>
            <w:vAlign w:val="center"/>
          </w:tcPr>
          <w:p>
            <w:pPr>
              <w:pStyle w:val="TableContents"/>
              <w:bidi w:val="0"/>
              <w:spacing w:before="0" w:after="283"/>
              <w:jc w:val="left"/>
              <w:rPr/>
            </w:pPr>
            <w:r>
              <w:rPr/>
              <w:t> </w:t>
            </w:r>
          </w:p>
        </w:tc>
        <w:tc>
          <w:tcPr>
            <w:tcW w:w="9002"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762" w:type="dxa"/>
            <w:tcBorders/>
            <w:vAlign w:val="center"/>
          </w:tcPr>
          <w:p>
            <w:pPr>
              <w:pStyle w:val="TableContents"/>
              <w:bidi w:val="0"/>
              <w:spacing w:before="0" w:after="0"/>
              <w:ind w:left="101" w:right="101" w:hanging="101"/>
              <w:jc w:val="left"/>
              <w:rPr>
                <w:rFonts w:ascii="Times New Roman;Times;serif" w:hAnsi="Times New Roman;Times;serif"/>
                <w:sz w:val="20"/>
              </w:rPr>
            </w:pPr>
            <w:r>
              <w:rPr>
                <w:rFonts w:ascii="Times New Roman;Times;serif" w:hAnsi="Times New Roman;Times;serif"/>
                <w:sz w:val="20"/>
              </w:rPr>
              <w:t>Item 1.</w:t>
            </w:r>
          </w:p>
        </w:tc>
        <w:tc>
          <w:tcPr>
            <w:tcW w:w="9002" w:type="dxa"/>
            <w:tcBorders/>
            <w:vAlign w:val="center"/>
          </w:tcPr>
          <w:p>
            <w:pPr>
              <w:pStyle w:val="TableContents"/>
              <w:bidi w:val="0"/>
              <w:spacing w:before="0" w:after="0"/>
              <w:ind w:left="0" w:right="0" w:hanging="0"/>
              <w:jc w:val="both"/>
              <w:rPr/>
            </w:pPr>
            <w:hyperlink w:anchor="legal">
              <w:r>
                <w:rPr>
                  <w:rStyle w:val="InternetLink"/>
                  <w:rFonts w:ascii="Times New Roman;Times;serif" w:hAnsi="Times New Roman;Times;serif"/>
                  <w:sz w:val="20"/>
                </w:rPr>
                <w:t>Legal Proceedings</w:t>
              </w:r>
            </w:hyperlink>
          </w:p>
        </w:tc>
        <w:tc>
          <w:tcPr>
            <w:tcW w:w="441" w:type="dxa"/>
            <w:tcBorders/>
            <w:vAlign w:val="center"/>
          </w:tcPr>
          <w:p>
            <w:pPr>
              <w:pStyle w:val="TableContents"/>
              <w:bidi w:val="0"/>
              <w:spacing w:before="0" w:after="0"/>
              <w:ind w:left="0" w:right="0" w:hanging="0"/>
              <w:jc w:val="center"/>
              <w:rPr/>
            </w:pPr>
            <w:hyperlink w:anchor="legal">
              <w:r>
                <w:rPr>
                  <w:rStyle w:val="InternetLink"/>
                  <w:rFonts w:ascii="Times New Roman;Times;serif" w:hAnsi="Times New Roman;Times;serif"/>
                  <w:sz w:val="20"/>
                </w:rPr>
                <w:t>34</w:t>
              </w:r>
            </w:hyperlink>
          </w:p>
        </w:tc>
      </w:tr>
      <w:tr>
        <w:trPr/>
        <w:tc>
          <w:tcPr>
            <w:tcW w:w="762" w:type="dxa"/>
            <w:tcBorders/>
            <w:vAlign w:val="center"/>
          </w:tcPr>
          <w:p>
            <w:pPr>
              <w:pStyle w:val="TableContents"/>
              <w:bidi w:val="0"/>
              <w:spacing w:before="0" w:after="283"/>
              <w:jc w:val="left"/>
              <w:rPr/>
            </w:pPr>
            <w:r>
              <w:rPr/>
              <w:t> </w:t>
            </w:r>
          </w:p>
        </w:tc>
        <w:tc>
          <w:tcPr>
            <w:tcW w:w="9002"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762" w:type="dxa"/>
            <w:tcBorders/>
            <w:vAlign w:val="center"/>
          </w:tcPr>
          <w:p>
            <w:pPr>
              <w:pStyle w:val="TableContents"/>
              <w:bidi w:val="0"/>
              <w:spacing w:before="0" w:after="0"/>
              <w:ind w:left="101" w:right="101" w:hanging="101"/>
              <w:jc w:val="left"/>
              <w:rPr>
                <w:rFonts w:ascii="Times New Roman;Times;serif" w:hAnsi="Times New Roman;Times;serif"/>
                <w:sz w:val="20"/>
              </w:rPr>
            </w:pPr>
            <w:r>
              <w:rPr>
                <w:rFonts w:ascii="Times New Roman;Times;serif" w:hAnsi="Times New Roman;Times;serif"/>
                <w:sz w:val="20"/>
              </w:rPr>
              <w:t>Item 1A.</w:t>
            </w:r>
          </w:p>
        </w:tc>
        <w:tc>
          <w:tcPr>
            <w:tcW w:w="9002" w:type="dxa"/>
            <w:tcBorders/>
            <w:vAlign w:val="center"/>
          </w:tcPr>
          <w:p>
            <w:pPr>
              <w:pStyle w:val="TableContents"/>
              <w:bidi w:val="0"/>
              <w:spacing w:before="0" w:after="0"/>
              <w:ind w:left="0" w:right="0" w:hanging="0"/>
              <w:jc w:val="both"/>
              <w:rPr/>
            </w:pPr>
            <w:hyperlink w:anchor="risk">
              <w:r>
                <w:rPr>
                  <w:rStyle w:val="InternetLink"/>
                  <w:rFonts w:ascii="Times New Roman;Times;serif" w:hAnsi="Times New Roman;Times;serif"/>
                  <w:sz w:val="20"/>
                </w:rPr>
                <w:t>Risk Factors</w:t>
              </w:r>
            </w:hyperlink>
          </w:p>
        </w:tc>
        <w:tc>
          <w:tcPr>
            <w:tcW w:w="441" w:type="dxa"/>
            <w:tcBorders/>
            <w:vAlign w:val="center"/>
          </w:tcPr>
          <w:p>
            <w:pPr>
              <w:pStyle w:val="TableContents"/>
              <w:bidi w:val="0"/>
              <w:spacing w:before="0" w:after="0"/>
              <w:ind w:left="0" w:right="0" w:hanging="0"/>
              <w:jc w:val="center"/>
              <w:rPr/>
            </w:pPr>
            <w:hyperlink w:anchor="risk">
              <w:r>
                <w:rPr>
                  <w:rStyle w:val="InternetLink"/>
                  <w:rFonts w:ascii="Times New Roman;Times;serif" w:hAnsi="Times New Roman;Times;serif"/>
                  <w:sz w:val="20"/>
                </w:rPr>
                <w:t>34</w:t>
              </w:r>
            </w:hyperlink>
          </w:p>
        </w:tc>
      </w:tr>
      <w:tr>
        <w:trPr/>
        <w:tc>
          <w:tcPr>
            <w:tcW w:w="762" w:type="dxa"/>
            <w:tcBorders/>
            <w:vAlign w:val="center"/>
          </w:tcPr>
          <w:p>
            <w:pPr>
              <w:pStyle w:val="TableContents"/>
              <w:bidi w:val="0"/>
              <w:spacing w:before="0" w:after="283"/>
              <w:jc w:val="left"/>
              <w:rPr/>
            </w:pPr>
            <w:r>
              <w:rPr/>
              <w:t> </w:t>
            </w:r>
          </w:p>
        </w:tc>
        <w:tc>
          <w:tcPr>
            <w:tcW w:w="9002"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762" w:type="dxa"/>
            <w:tcBorders/>
            <w:vAlign w:val="center"/>
          </w:tcPr>
          <w:p>
            <w:pPr>
              <w:pStyle w:val="TableContents"/>
              <w:bidi w:val="0"/>
              <w:spacing w:before="0" w:after="0"/>
              <w:ind w:left="101" w:right="101" w:hanging="101"/>
              <w:jc w:val="left"/>
              <w:rPr>
                <w:rFonts w:ascii="Times New Roman;Times;serif" w:hAnsi="Times New Roman;Times;serif"/>
                <w:sz w:val="20"/>
              </w:rPr>
            </w:pPr>
            <w:r>
              <w:rPr>
                <w:rFonts w:ascii="Times New Roman;Times;serif" w:hAnsi="Times New Roman;Times;serif"/>
                <w:sz w:val="20"/>
              </w:rPr>
              <w:t>Item 2.</w:t>
            </w:r>
          </w:p>
        </w:tc>
        <w:tc>
          <w:tcPr>
            <w:tcW w:w="9002" w:type="dxa"/>
            <w:tcBorders/>
            <w:vAlign w:val="center"/>
          </w:tcPr>
          <w:p>
            <w:pPr>
              <w:pStyle w:val="TableContents"/>
              <w:bidi w:val="0"/>
              <w:spacing w:before="0" w:after="0"/>
              <w:ind w:left="0" w:right="0" w:hanging="0"/>
              <w:jc w:val="both"/>
              <w:rPr/>
            </w:pPr>
            <w:hyperlink w:anchor="unreg">
              <w:r>
                <w:rPr>
                  <w:rStyle w:val="InternetLink"/>
                  <w:rFonts w:ascii="Times New Roman;Times;serif" w:hAnsi="Times New Roman;Times;serif"/>
                  <w:sz w:val="20"/>
                </w:rPr>
                <w:t>Unregistered Sales of Equity Securities and Use of Proceeds</w:t>
              </w:r>
            </w:hyperlink>
          </w:p>
        </w:tc>
        <w:tc>
          <w:tcPr>
            <w:tcW w:w="441" w:type="dxa"/>
            <w:tcBorders/>
            <w:vAlign w:val="center"/>
          </w:tcPr>
          <w:p>
            <w:pPr>
              <w:pStyle w:val="TableContents"/>
              <w:bidi w:val="0"/>
              <w:spacing w:before="0" w:after="0"/>
              <w:ind w:left="0" w:right="0" w:hanging="0"/>
              <w:jc w:val="center"/>
              <w:rPr/>
            </w:pPr>
            <w:hyperlink w:anchor="unreg">
              <w:r>
                <w:rPr>
                  <w:rStyle w:val="InternetLink"/>
                  <w:rFonts w:ascii="Times New Roman;Times;serif" w:hAnsi="Times New Roman;Times;serif"/>
                  <w:sz w:val="20"/>
                </w:rPr>
                <w:t>34</w:t>
              </w:r>
            </w:hyperlink>
          </w:p>
        </w:tc>
      </w:tr>
      <w:tr>
        <w:trPr/>
        <w:tc>
          <w:tcPr>
            <w:tcW w:w="762" w:type="dxa"/>
            <w:tcBorders/>
            <w:vAlign w:val="center"/>
          </w:tcPr>
          <w:p>
            <w:pPr>
              <w:pStyle w:val="TableContents"/>
              <w:bidi w:val="0"/>
              <w:spacing w:before="0" w:after="283"/>
              <w:jc w:val="left"/>
              <w:rPr/>
            </w:pPr>
            <w:r>
              <w:rPr/>
              <w:t> </w:t>
            </w:r>
          </w:p>
        </w:tc>
        <w:tc>
          <w:tcPr>
            <w:tcW w:w="9002"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762" w:type="dxa"/>
            <w:tcBorders/>
            <w:vAlign w:val="center"/>
          </w:tcPr>
          <w:p>
            <w:pPr>
              <w:pStyle w:val="TableContents"/>
              <w:bidi w:val="0"/>
              <w:spacing w:before="0" w:after="283"/>
              <w:jc w:val="left"/>
              <w:rPr/>
            </w:pPr>
            <w:r>
              <w:rPr/>
              <w:t>Item 3.</w:t>
            </w:r>
          </w:p>
        </w:tc>
        <w:tc>
          <w:tcPr>
            <w:tcW w:w="9002" w:type="dxa"/>
            <w:tcBorders/>
            <w:vAlign w:val="center"/>
          </w:tcPr>
          <w:p>
            <w:pPr>
              <w:pStyle w:val="TableContents"/>
              <w:bidi w:val="0"/>
              <w:spacing w:before="0" w:after="283"/>
              <w:jc w:val="left"/>
              <w:rPr/>
            </w:pPr>
            <w:hyperlink w:anchor="defaults">
              <w:r>
                <w:rPr>
                  <w:rStyle w:val="InternetLink"/>
                </w:rPr>
                <w:t>Defaults Upon Senior Securities</w:t>
              </w:r>
            </w:hyperlink>
          </w:p>
        </w:tc>
        <w:tc>
          <w:tcPr>
            <w:tcW w:w="441" w:type="dxa"/>
            <w:tcBorders/>
            <w:vAlign w:val="center"/>
          </w:tcPr>
          <w:p>
            <w:pPr>
              <w:pStyle w:val="TableContents"/>
              <w:bidi w:val="0"/>
              <w:spacing w:before="0" w:after="283"/>
              <w:jc w:val="center"/>
              <w:rPr/>
            </w:pPr>
            <w:hyperlink w:anchor="defaults">
              <w:r>
                <w:rPr>
                  <w:rStyle w:val="InternetLink"/>
                </w:rPr>
                <w:t>34</w:t>
              </w:r>
            </w:hyperlink>
          </w:p>
        </w:tc>
      </w:tr>
      <w:tr>
        <w:trPr/>
        <w:tc>
          <w:tcPr>
            <w:tcW w:w="762" w:type="dxa"/>
            <w:tcBorders/>
            <w:vAlign w:val="center"/>
          </w:tcPr>
          <w:p>
            <w:pPr>
              <w:pStyle w:val="TableContents"/>
              <w:bidi w:val="0"/>
              <w:spacing w:before="0" w:after="283"/>
              <w:jc w:val="left"/>
              <w:rPr/>
            </w:pPr>
            <w:r>
              <w:rPr/>
              <w:t> </w:t>
            </w:r>
          </w:p>
        </w:tc>
        <w:tc>
          <w:tcPr>
            <w:tcW w:w="9002"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762" w:type="dxa"/>
            <w:tcBorders/>
            <w:vAlign w:val="center"/>
          </w:tcPr>
          <w:p>
            <w:pPr>
              <w:pStyle w:val="TableContents"/>
              <w:bidi w:val="0"/>
              <w:spacing w:before="0" w:after="283"/>
              <w:jc w:val="left"/>
              <w:rPr/>
            </w:pPr>
            <w:r>
              <w:rPr/>
              <w:t>Item 4.</w:t>
            </w:r>
          </w:p>
        </w:tc>
        <w:tc>
          <w:tcPr>
            <w:tcW w:w="9002" w:type="dxa"/>
            <w:tcBorders/>
            <w:vAlign w:val="center"/>
          </w:tcPr>
          <w:p>
            <w:pPr>
              <w:pStyle w:val="TableContents"/>
              <w:bidi w:val="0"/>
              <w:spacing w:before="0" w:after="283"/>
              <w:jc w:val="left"/>
              <w:rPr/>
            </w:pPr>
            <w:hyperlink w:anchor="mine">
              <w:r>
                <w:rPr>
                  <w:rStyle w:val="InternetLink"/>
                </w:rPr>
                <w:t>Mine Safety Disclosures</w:t>
              </w:r>
            </w:hyperlink>
          </w:p>
        </w:tc>
        <w:tc>
          <w:tcPr>
            <w:tcW w:w="441" w:type="dxa"/>
            <w:tcBorders/>
            <w:vAlign w:val="center"/>
          </w:tcPr>
          <w:p>
            <w:pPr>
              <w:pStyle w:val="TableContents"/>
              <w:bidi w:val="0"/>
              <w:spacing w:before="0" w:after="283"/>
              <w:jc w:val="center"/>
              <w:rPr/>
            </w:pPr>
            <w:hyperlink w:anchor="mine">
              <w:r>
                <w:rPr>
                  <w:rStyle w:val="InternetLink"/>
                </w:rPr>
                <w:t>34</w:t>
              </w:r>
            </w:hyperlink>
          </w:p>
        </w:tc>
      </w:tr>
      <w:tr>
        <w:trPr/>
        <w:tc>
          <w:tcPr>
            <w:tcW w:w="762" w:type="dxa"/>
            <w:tcBorders/>
            <w:vAlign w:val="center"/>
          </w:tcPr>
          <w:p>
            <w:pPr>
              <w:pStyle w:val="TableContents"/>
              <w:bidi w:val="0"/>
              <w:spacing w:before="0" w:after="283"/>
              <w:jc w:val="left"/>
              <w:rPr/>
            </w:pPr>
            <w:r>
              <w:rPr/>
              <w:t> </w:t>
            </w:r>
          </w:p>
        </w:tc>
        <w:tc>
          <w:tcPr>
            <w:tcW w:w="9002"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762" w:type="dxa"/>
            <w:tcBorders/>
            <w:vAlign w:val="center"/>
          </w:tcPr>
          <w:p>
            <w:pPr>
              <w:pStyle w:val="TableContents"/>
              <w:bidi w:val="0"/>
              <w:spacing w:before="0" w:after="283"/>
              <w:jc w:val="left"/>
              <w:rPr/>
            </w:pPr>
            <w:r>
              <w:rPr/>
              <w:t>Item 5.</w:t>
            </w:r>
          </w:p>
        </w:tc>
        <w:tc>
          <w:tcPr>
            <w:tcW w:w="9002" w:type="dxa"/>
            <w:tcBorders/>
            <w:vAlign w:val="center"/>
          </w:tcPr>
          <w:p>
            <w:pPr>
              <w:pStyle w:val="TableContents"/>
              <w:bidi w:val="0"/>
              <w:spacing w:before="0" w:after="283"/>
              <w:jc w:val="left"/>
              <w:rPr/>
            </w:pPr>
            <w:hyperlink w:anchor="other">
              <w:r>
                <w:rPr>
                  <w:rStyle w:val="InternetLink"/>
                </w:rPr>
                <w:t>Other Information</w:t>
              </w:r>
            </w:hyperlink>
          </w:p>
        </w:tc>
        <w:tc>
          <w:tcPr>
            <w:tcW w:w="441" w:type="dxa"/>
            <w:tcBorders/>
            <w:vAlign w:val="center"/>
          </w:tcPr>
          <w:p>
            <w:pPr>
              <w:pStyle w:val="TableContents"/>
              <w:bidi w:val="0"/>
              <w:spacing w:before="0" w:after="283"/>
              <w:jc w:val="center"/>
              <w:rPr/>
            </w:pPr>
            <w:hyperlink w:anchor="other">
              <w:r>
                <w:rPr>
                  <w:rStyle w:val="InternetLink"/>
                </w:rPr>
                <w:t>35</w:t>
              </w:r>
            </w:hyperlink>
          </w:p>
        </w:tc>
      </w:tr>
      <w:tr>
        <w:trPr/>
        <w:tc>
          <w:tcPr>
            <w:tcW w:w="762" w:type="dxa"/>
            <w:tcBorders/>
            <w:vAlign w:val="center"/>
          </w:tcPr>
          <w:p>
            <w:pPr>
              <w:pStyle w:val="TableContents"/>
              <w:bidi w:val="0"/>
              <w:spacing w:before="0" w:after="283"/>
              <w:jc w:val="left"/>
              <w:rPr/>
            </w:pPr>
            <w:r>
              <w:rPr/>
              <w:t> </w:t>
            </w:r>
          </w:p>
        </w:tc>
        <w:tc>
          <w:tcPr>
            <w:tcW w:w="9002"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762" w:type="dxa"/>
            <w:tcBorders/>
            <w:vAlign w:val="center"/>
          </w:tcPr>
          <w:p>
            <w:pPr>
              <w:pStyle w:val="TableContents"/>
              <w:bidi w:val="0"/>
              <w:spacing w:before="0" w:after="0"/>
              <w:ind w:left="101" w:right="101" w:hanging="101"/>
              <w:jc w:val="left"/>
              <w:rPr>
                <w:rFonts w:ascii="Times New Roman;Times;serif" w:hAnsi="Times New Roman;Times;serif"/>
                <w:sz w:val="20"/>
              </w:rPr>
            </w:pPr>
            <w:r>
              <w:rPr>
                <w:rFonts w:ascii="Times New Roman;Times;serif" w:hAnsi="Times New Roman;Times;serif"/>
                <w:sz w:val="20"/>
              </w:rPr>
              <w:t>Item 6.</w:t>
            </w:r>
          </w:p>
        </w:tc>
        <w:tc>
          <w:tcPr>
            <w:tcW w:w="9002" w:type="dxa"/>
            <w:tcBorders/>
            <w:vAlign w:val="center"/>
          </w:tcPr>
          <w:p>
            <w:pPr>
              <w:pStyle w:val="TableContents"/>
              <w:bidi w:val="0"/>
              <w:spacing w:before="0" w:after="0"/>
              <w:ind w:left="0" w:right="0" w:hanging="0"/>
              <w:jc w:val="both"/>
              <w:rPr/>
            </w:pPr>
            <w:hyperlink w:anchor="item6">
              <w:r>
                <w:rPr>
                  <w:rStyle w:val="InternetLink"/>
                  <w:rFonts w:ascii="Times New Roman;Times;serif" w:hAnsi="Times New Roman;Times;serif"/>
                  <w:sz w:val="20"/>
                </w:rPr>
                <w:t>Exhibits</w:t>
              </w:r>
            </w:hyperlink>
          </w:p>
        </w:tc>
        <w:tc>
          <w:tcPr>
            <w:tcW w:w="441" w:type="dxa"/>
            <w:tcBorders/>
            <w:vAlign w:val="center"/>
          </w:tcPr>
          <w:p>
            <w:pPr>
              <w:pStyle w:val="TableContents"/>
              <w:bidi w:val="0"/>
              <w:spacing w:before="0" w:after="0"/>
              <w:ind w:left="0" w:right="0" w:hanging="0"/>
              <w:jc w:val="center"/>
              <w:rPr/>
            </w:pPr>
            <w:hyperlink w:anchor="item6">
              <w:r>
                <w:rPr>
                  <w:rStyle w:val="InternetLink"/>
                  <w:rFonts w:ascii="Times New Roman;Times;serif" w:hAnsi="Times New Roman;Times;serif"/>
                  <w:sz w:val="20"/>
                </w:rPr>
                <w:t>35</w:t>
              </w:r>
            </w:hyperlink>
          </w:p>
        </w:tc>
      </w:tr>
      <w:tr>
        <w:trPr/>
        <w:tc>
          <w:tcPr>
            <w:tcW w:w="762" w:type="dxa"/>
            <w:tcBorders/>
            <w:vAlign w:val="center"/>
          </w:tcPr>
          <w:p>
            <w:pPr>
              <w:pStyle w:val="TableContents"/>
              <w:bidi w:val="0"/>
              <w:spacing w:before="0" w:after="283"/>
              <w:jc w:val="left"/>
              <w:rPr/>
            </w:pPr>
            <w:r>
              <w:rPr/>
              <w:t> </w:t>
            </w:r>
          </w:p>
        </w:tc>
        <w:tc>
          <w:tcPr>
            <w:tcW w:w="9002"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r>
      <w:tr>
        <w:trPr/>
        <w:tc>
          <w:tcPr>
            <w:tcW w:w="762" w:type="dxa"/>
            <w:tcBorders/>
            <w:vAlign w:val="center"/>
          </w:tcPr>
          <w:p>
            <w:pPr>
              <w:pStyle w:val="TableContents"/>
              <w:bidi w:val="0"/>
              <w:spacing w:before="0" w:after="283"/>
              <w:jc w:val="left"/>
              <w:rPr/>
            </w:pPr>
            <w:r>
              <w:rPr/>
              <w:t> </w:t>
            </w:r>
          </w:p>
        </w:tc>
        <w:tc>
          <w:tcPr>
            <w:tcW w:w="9002" w:type="dxa"/>
            <w:tcBorders/>
            <w:vAlign w:val="center"/>
          </w:tcPr>
          <w:p>
            <w:pPr>
              <w:pStyle w:val="TableContents"/>
              <w:bidi w:val="0"/>
              <w:spacing w:before="0" w:after="0"/>
              <w:ind w:left="0" w:right="0" w:hanging="0"/>
              <w:jc w:val="both"/>
              <w:rPr/>
            </w:pPr>
            <w:hyperlink w:anchor="sig">
              <w:r>
                <w:rPr>
                  <w:rStyle w:val="InternetLink"/>
                  <w:rFonts w:ascii="Times New Roman;Times;serif" w:hAnsi="Times New Roman;Times;serif"/>
                  <w:sz w:val="20"/>
                </w:rPr>
                <w:t>Signatures</w:t>
              </w:r>
            </w:hyperlink>
          </w:p>
        </w:tc>
        <w:tc>
          <w:tcPr>
            <w:tcW w:w="441" w:type="dxa"/>
            <w:tcBorders/>
            <w:vAlign w:val="center"/>
          </w:tcPr>
          <w:p>
            <w:pPr>
              <w:pStyle w:val="TableContents"/>
              <w:bidi w:val="0"/>
              <w:spacing w:before="0" w:after="0"/>
              <w:ind w:left="0" w:right="0" w:hanging="0"/>
              <w:jc w:val="center"/>
              <w:rPr/>
            </w:pPr>
            <w:hyperlink w:anchor="sig">
              <w:r>
                <w:rPr>
                  <w:rStyle w:val="InternetLink"/>
                  <w:rFonts w:ascii="Times New Roman;Times;serif" w:hAnsi="Times New Roman;Times;serif"/>
                  <w:sz w:val="20"/>
                </w:rPr>
                <w:t>36</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3" w:name="part1"/>
      <w:bookmarkEnd w:id="3"/>
      <w:r>
        <w:rPr>
          <w:rFonts w:ascii="Times New Roman;Times;serif" w:hAnsi="Times New Roman;Times;serif"/>
          <w:b/>
          <w:sz w:val="20"/>
        </w:rPr>
        <w:t>PART I. FINANCIAL INFORMATION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br/>
      </w:r>
      <w:r>
        <w:rPr>
          <w:rFonts w:ascii="Times New Roman;Times;serif" w:hAnsi="Times New Roman;Times;serif"/>
          <w:b/>
          <w:sz w:val="20"/>
        </w:rPr>
        <w:t>Item 1.           Financial Statements</w:t>
      </w:r>
    </w:p>
    <w:p>
      <w:pPr>
        <w:pStyle w:val="TextBody"/>
        <w:bidi w:val="0"/>
        <w:spacing w:before="0" w:after="0"/>
        <w:ind w:left="0" w:right="0" w:hanging="0"/>
        <w:jc w:val="left"/>
        <w:rPr/>
      </w:pPr>
      <w:r>
        <w:rPr/>
        <w:t> </w:t>
      </w:r>
    </w:p>
    <w:tbl>
      <w:tblPr>
        <w:tblW w:w="6065" w:type="dxa"/>
        <w:jc w:val="left"/>
        <w:tblInd w:w="0" w:type="dxa"/>
        <w:tblLayout w:type="fixed"/>
        <w:tblCellMar>
          <w:top w:w="0" w:type="dxa"/>
          <w:left w:w="0" w:type="dxa"/>
          <w:bottom w:w="0" w:type="dxa"/>
          <w:right w:w="0" w:type="dxa"/>
        </w:tblCellMar>
      </w:tblPr>
      <w:tblGrid>
        <w:gridCol w:w="6065"/>
      </w:tblGrid>
      <w:tr>
        <w:trPr/>
        <w:tc>
          <w:tcPr>
            <w:tcW w:w="6065"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Generac Holdings Inc.</w:t>
            </w:r>
          </w:p>
        </w:tc>
      </w:tr>
      <w:tr>
        <w:trPr/>
        <w:tc>
          <w:tcPr>
            <w:tcW w:w="6065"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Condensed Consolidated Balance Sheets</w:t>
            </w:r>
          </w:p>
        </w:tc>
      </w:tr>
      <w:tr>
        <w:trPr/>
        <w:tc>
          <w:tcPr>
            <w:tcW w:w="6065" w:type="dxa"/>
            <w:tcBorders/>
            <w:vAlign w:val="center"/>
          </w:tcPr>
          <w:p>
            <w:pPr>
              <w:pStyle w:val="TableContents"/>
              <w:bidi w:val="0"/>
              <w:spacing w:before="0" w:after="283"/>
              <w:jc w:val="center"/>
              <w:rPr>
                <w:i/>
              </w:rPr>
            </w:pPr>
            <w:r>
              <w:rPr>
                <w:i/>
              </w:rPr>
              <w:t>(U.S. Dollars in Thousands, Except Share and Per Share Data)</w:t>
            </w:r>
          </w:p>
        </w:tc>
      </w:tr>
      <w:tr>
        <w:trPr/>
        <w:tc>
          <w:tcPr>
            <w:tcW w:w="6065" w:type="dxa"/>
            <w:tcBorders/>
            <w:vAlign w:val="center"/>
          </w:tcPr>
          <w:p>
            <w:pPr>
              <w:pStyle w:val="TableContents"/>
              <w:bidi w:val="0"/>
              <w:spacing w:before="0" w:after="283"/>
              <w:jc w:val="center"/>
              <w:rPr/>
            </w:pPr>
            <w:r>
              <w:rPr/>
              <w:t>(Unaudited)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801"/>
        <w:gridCol w:w="60"/>
        <w:gridCol w:w="125"/>
        <w:gridCol w:w="905"/>
        <w:gridCol w:w="80"/>
        <w:gridCol w:w="60"/>
        <w:gridCol w:w="132"/>
        <w:gridCol w:w="960"/>
        <w:gridCol w:w="82"/>
      </w:tblGrid>
      <w:tr>
        <w:trPr/>
        <w:tc>
          <w:tcPr>
            <w:tcW w:w="78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9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December 31,</w:t>
            </w:r>
          </w:p>
        </w:tc>
        <w:tc>
          <w:tcPr>
            <w:tcW w:w="82" w:type="dxa"/>
            <w:tcBorders/>
            <w:shd w:fill="FFFFFF" w:val="clear"/>
            <w:vAlign w:val="center"/>
          </w:tcPr>
          <w:p>
            <w:pPr>
              <w:pStyle w:val="TableContents"/>
              <w:bidi w:val="0"/>
              <w:spacing w:before="0" w:after="283"/>
              <w:jc w:val="left"/>
              <w:rPr/>
            </w:pPr>
            <w:r>
              <w:rPr/>
              <w:t> </w:t>
            </w:r>
          </w:p>
        </w:tc>
      </w:tr>
      <w:tr>
        <w:trPr/>
        <w:tc>
          <w:tcPr>
            <w:tcW w:w="78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82" w:type="dxa"/>
            <w:tcBorders/>
            <w:shd w:fill="FFFFFF" w:val="clear"/>
            <w:vAlign w:val="center"/>
          </w:tcPr>
          <w:p>
            <w:pPr>
              <w:pStyle w:val="TableContents"/>
              <w:bidi w:val="0"/>
              <w:spacing w:before="0" w:after="283"/>
              <w:jc w:val="left"/>
              <w:rPr/>
            </w:pPr>
            <w:r>
              <w:rPr/>
              <w:t> </w:t>
            </w:r>
          </w:p>
        </w:tc>
      </w:tr>
      <w:tr>
        <w:trPr/>
        <w:tc>
          <w:tcPr>
            <w:tcW w:w="7801"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center"/>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80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264,921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341,413</w:t>
            </w:r>
          </w:p>
        </w:tc>
        <w:tc>
          <w:tcPr>
            <w:tcW w:w="82" w:type="dxa"/>
            <w:tcBorders/>
            <w:shd w:fill="CCEEFF" w:val="clear"/>
            <w:vAlign w:val="center"/>
          </w:tcPr>
          <w:p>
            <w:pPr>
              <w:pStyle w:val="TableContents"/>
              <w:bidi w:val="0"/>
              <w:spacing w:before="0" w:after="283"/>
              <w:jc w:val="left"/>
              <w:rPr/>
            </w:pPr>
            <w:r>
              <w:rPr/>
              <w:t> </w:t>
            </w:r>
          </w:p>
        </w:tc>
      </w:tr>
      <w:tr>
        <w:trPr/>
        <w:tc>
          <w:tcPr>
            <w:tcW w:w="780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less allowance for credit losses of $33,767 and $34,504 at June 30, 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669,204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602,739</w:t>
            </w:r>
          </w:p>
        </w:tc>
        <w:tc>
          <w:tcPr>
            <w:tcW w:w="82" w:type="dxa"/>
            <w:tcBorders/>
            <w:shd w:fill="FFFFFF" w:val="clear"/>
            <w:vAlign w:val="center"/>
          </w:tcPr>
          <w:p>
            <w:pPr>
              <w:pStyle w:val="TableContents"/>
              <w:bidi w:val="0"/>
              <w:spacing w:before="0" w:after="283"/>
              <w:jc w:val="left"/>
              <w:rPr/>
            </w:pPr>
            <w:r>
              <w:rPr/>
              <w:t> </w:t>
            </w:r>
          </w:p>
        </w:tc>
      </w:tr>
      <w:tr>
        <w:trPr/>
        <w:tc>
          <w:tcPr>
            <w:tcW w:w="7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1,238,871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1,248,867</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0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260,381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6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269,459</w:t>
            </w:r>
          </w:p>
        </w:tc>
        <w:tc>
          <w:tcPr>
            <w:tcW w:w="82" w:type="dxa"/>
            <w:tcBorders/>
            <w:shd w:fill="FFFFFF" w:val="clear"/>
            <w:vAlign w:val="center"/>
          </w:tcPr>
          <w:p>
            <w:pPr>
              <w:pStyle w:val="TableContents"/>
              <w:bidi w:val="0"/>
              <w:spacing w:before="0" w:after="0"/>
              <w:jc w:val="left"/>
              <w:rPr/>
            </w:pPr>
            <w:r>
              <w:rPr/>
              <w:t> </w:t>
            </w:r>
          </w:p>
        </w:tc>
      </w:tr>
      <w:tr>
        <w:trPr/>
        <w:tc>
          <w:tcPr>
            <w:tcW w:w="7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2,433,377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9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2,462,478</w:t>
            </w:r>
          </w:p>
        </w:tc>
        <w:tc>
          <w:tcPr>
            <w:tcW w:w="82" w:type="dxa"/>
            <w:tcBorders/>
            <w:shd w:fill="CCEEFF" w:val="clear"/>
            <w:vAlign w:val="center"/>
          </w:tcPr>
          <w:p>
            <w:pPr>
              <w:pStyle w:val="TableContents"/>
              <w:bidi w:val="0"/>
              <w:spacing w:before="0" w:after="283"/>
              <w:jc w:val="left"/>
              <w:rPr/>
            </w:pPr>
            <w:r>
              <w:rPr/>
              <w:t> </w:t>
            </w:r>
          </w:p>
        </w:tc>
      </w:tr>
      <w:tr>
        <w:trPr/>
        <w:tc>
          <w:tcPr>
            <w:tcW w:w="78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862,578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813,605</w:t>
            </w:r>
          </w:p>
        </w:tc>
        <w:tc>
          <w:tcPr>
            <w:tcW w:w="82" w:type="dxa"/>
            <w:tcBorders/>
            <w:shd w:fill="CCEEFF" w:val="clear"/>
            <w:vAlign w:val="center"/>
          </w:tcPr>
          <w:p>
            <w:pPr>
              <w:pStyle w:val="TableContents"/>
              <w:bidi w:val="0"/>
              <w:spacing w:before="0" w:after="283"/>
              <w:jc w:val="left"/>
              <w:rPr/>
            </w:pPr>
            <w:r>
              <w:rPr/>
              <w:t> </w:t>
            </w:r>
          </w:p>
        </w:tc>
      </w:tr>
      <w:tr>
        <w:trPr/>
        <w:tc>
          <w:tcPr>
            <w:tcW w:w="78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lists,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159,251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127,517</w:t>
            </w:r>
          </w:p>
        </w:tc>
        <w:tc>
          <w:tcPr>
            <w:tcW w:w="82" w:type="dxa"/>
            <w:tcBorders/>
            <w:shd w:fill="CCEEFF" w:val="clear"/>
            <w:vAlign w:val="center"/>
          </w:tcPr>
          <w:p>
            <w:pPr>
              <w:pStyle w:val="TableContents"/>
              <w:bidi w:val="0"/>
              <w:spacing w:before="0" w:after="283"/>
              <w:jc w:val="left"/>
              <w:rPr/>
            </w:pPr>
            <w:r>
              <w:rPr/>
              <w:t> </w:t>
            </w:r>
          </w:p>
        </w:tc>
      </w:tr>
      <w:tr>
        <w:trPr/>
        <w:tc>
          <w:tcPr>
            <w:tcW w:w="780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Patents and technology,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313,682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338,308</w:t>
            </w:r>
          </w:p>
        </w:tc>
        <w:tc>
          <w:tcPr>
            <w:tcW w:w="82" w:type="dxa"/>
            <w:tcBorders/>
            <w:shd w:fill="FFFFFF" w:val="clear"/>
            <w:vAlign w:val="center"/>
          </w:tcPr>
          <w:p>
            <w:pPr>
              <w:pStyle w:val="TableContents"/>
              <w:bidi w:val="0"/>
              <w:spacing w:before="0" w:after="283"/>
              <w:jc w:val="left"/>
              <w:rPr/>
            </w:pPr>
            <w:r>
              <w:rPr/>
              <w:t> </w:t>
            </w:r>
          </w:p>
        </w:tc>
      </w:tr>
      <w:tr>
        <w:trPr/>
        <w:tc>
          <w:tcPr>
            <w:tcW w:w="7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intangible assets,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10,011</w:t>
            </w:r>
          </w:p>
        </w:tc>
        <w:tc>
          <w:tcPr>
            <w:tcW w:w="82" w:type="dxa"/>
            <w:tcBorders/>
            <w:shd w:fill="CCEEFF" w:val="clear"/>
            <w:vAlign w:val="center"/>
          </w:tcPr>
          <w:p>
            <w:pPr>
              <w:pStyle w:val="TableContents"/>
              <w:bidi w:val="0"/>
              <w:spacing w:before="0" w:after="283"/>
              <w:jc w:val="left"/>
              <w:rPr/>
            </w:pPr>
            <w:r>
              <w:rPr/>
              <w:t> </w:t>
            </w:r>
          </w:p>
        </w:tc>
      </w:tr>
      <w:tr>
        <w:trPr/>
        <w:tc>
          <w:tcPr>
            <w:tcW w:w="780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Tradenames,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221,107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199,430</w:t>
            </w:r>
          </w:p>
        </w:tc>
        <w:tc>
          <w:tcPr>
            <w:tcW w:w="82" w:type="dxa"/>
            <w:tcBorders/>
            <w:shd w:fill="FFFFFF" w:val="clear"/>
            <w:vAlign w:val="center"/>
          </w:tcPr>
          <w:p>
            <w:pPr>
              <w:pStyle w:val="TableContents"/>
              <w:bidi w:val="0"/>
              <w:spacing w:before="0" w:after="283"/>
              <w:jc w:val="left"/>
              <w:rPr/>
            </w:pPr>
            <w:r>
              <w:rPr/>
              <w:t> </w:t>
            </w:r>
          </w:p>
        </w:tc>
      </w:tr>
      <w:tr>
        <w:trPr/>
        <w:tc>
          <w:tcPr>
            <w:tcW w:w="7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1,651,751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1,467,094</w:t>
            </w:r>
          </w:p>
        </w:tc>
        <w:tc>
          <w:tcPr>
            <w:tcW w:w="82" w:type="dxa"/>
            <w:tcBorders/>
            <w:shd w:fill="CCEEFF" w:val="clear"/>
            <w:vAlign w:val="center"/>
          </w:tcPr>
          <w:p>
            <w:pPr>
              <w:pStyle w:val="TableContents"/>
              <w:bidi w:val="0"/>
              <w:spacing w:before="0" w:after="283"/>
              <w:jc w:val="left"/>
              <w:rPr/>
            </w:pPr>
            <w:r>
              <w:rPr/>
              <w:t> </w:t>
            </w:r>
          </w:p>
        </w:tc>
      </w:tr>
      <w:tr>
        <w:trPr/>
        <w:tc>
          <w:tcPr>
            <w:tcW w:w="780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41,949</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and other assets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114,923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113,287</w:t>
            </w:r>
          </w:p>
        </w:tc>
        <w:tc>
          <w:tcPr>
            <w:tcW w:w="82" w:type="dxa"/>
            <w:tcBorders/>
            <w:shd w:fill="CCEEFF" w:val="clear"/>
            <w:vAlign w:val="center"/>
          </w:tcPr>
          <w:p>
            <w:pPr>
              <w:pStyle w:val="TableContents"/>
              <w:bidi w:val="0"/>
              <w:spacing w:before="0" w:after="0"/>
              <w:jc w:val="left"/>
              <w:rPr/>
            </w:pPr>
            <w:r>
              <w:rPr/>
              <w:t> </w:t>
            </w:r>
          </w:p>
        </w:tc>
      </w:tr>
      <w:tr>
        <w:trPr/>
        <w:tc>
          <w:tcPr>
            <w:tcW w:w="780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5,772,151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5,573,679</w:t>
            </w:r>
          </w:p>
        </w:tc>
        <w:tc>
          <w:tcPr>
            <w:tcW w:w="82" w:type="dxa"/>
            <w:tcBorders/>
            <w:shd w:fill="FFFFFF" w:val="clear"/>
            <w:vAlign w:val="center"/>
          </w:tcPr>
          <w:p>
            <w:pPr>
              <w:pStyle w:val="TableContents"/>
              <w:bidi w:val="0"/>
              <w:spacing w:before="0" w:after="283"/>
              <w:jc w:val="left"/>
              <w:rPr/>
            </w:pPr>
            <w:r>
              <w:rPr/>
              <w:t> </w:t>
            </w:r>
          </w:p>
        </w:tc>
      </w:tr>
      <w:tr>
        <w:trPr/>
        <w:tc>
          <w:tcPr>
            <w:tcW w:w="78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801" w:type="dxa"/>
            <w:tcBorders/>
            <w:shd w:fill="FFFF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center"/>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80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borrowings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48,318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50,618</w:t>
            </w:r>
          </w:p>
        </w:tc>
        <w:tc>
          <w:tcPr>
            <w:tcW w:w="82" w:type="dxa"/>
            <w:tcBorders/>
            <w:shd w:fill="FFFFFF" w:val="clear"/>
            <w:vAlign w:val="center"/>
          </w:tcPr>
          <w:p>
            <w:pPr>
              <w:pStyle w:val="TableContents"/>
              <w:bidi w:val="0"/>
              <w:spacing w:before="0" w:after="283"/>
              <w:jc w:val="left"/>
              <w:rPr/>
            </w:pPr>
            <w:r>
              <w:rPr/>
              <w:t> </w:t>
            </w:r>
          </w:p>
        </w:tc>
      </w:tr>
      <w:tr>
        <w:trPr/>
        <w:tc>
          <w:tcPr>
            <w:tcW w:w="7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556,088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436,583</w:t>
            </w:r>
          </w:p>
        </w:tc>
        <w:tc>
          <w:tcPr>
            <w:tcW w:w="82" w:type="dxa"/>
            <w:tcBorders/>
            <w:shd w:fill="CCEEFF" w:val="clear"/>
            <w:vAlign w:val="center"/>
          </w:tcPr>
          <w:p>
            <w:pPr>
              <w:pStyle w:val="TableContents"/>
              <w:bidi w:val="0"/>
              <w:spacing w:before="0" w:after="283"/>
              <w:jc w:val="left"/>
              <w:rPr/>
            </w:pPr>
            <w:r>
              <w:rPr/>
              <w:t> </w:t>
            </w:r>
          </w:p>
        </w:tc>
      </w:tr>
      <w:tr>
        <w:trPr/>
        <w:tc>
          <w:tcPr>
            <w:tcW w:w="780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wages and employee benefits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62,360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69,850</w:t>
            </w:r>
          </w:p>
        </w:tc>
        <w:tc>
          <w:tcPr>
            <w:tcW w:w="82" w:type="dxa"/>
            <w:tcBorders/>
            <w:shd w:fill="FFFFFF" w:val="clear"/>
            <w:vAlign w:val="center"/>
          </w:tcPr>
          <w:p>
            <w:pPr>
              <w:pStyle w:val="TableContents"/>
              <w:bidi w:val="0"/>
              <w:spacing w:before="0" w:after="283"/>
              <w:jc w:val="left"/>
              <w:rPr/>
            </w:pPr>
            <w:r>
              <w:rPr/>
              <w:t> </w:t>
            </w:r>
          </w:p>
        </w:tc>
      </w:tr>
      <w:tr>
        <w:trPr/>
        <w:tc>
          <w:tcPr>
            <w:tcW w:w="7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product warranty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43,473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44,716</w:t>
            </w:r>
          </w:p>
        </w:tc>
        <w:tc>
          <w:tcPr>
            <w:tcW w:w="82" w:type="dxa"/>
            <w:tcBorders/>
            <w:shd w:fill="CCEEFF" w:val="clear"/>
            <w:vAlign w:val="center"/>
          </w:tcPr>
          <w:p>
            <w:pPr>
              <w:pStyle w:val="TableContents"/>
              <w:bidi w:val="0"/>
              <w:spacing w:before="0" w:after="283"/>
              <w:jc w:val="left"/>
              <w:rPr/>
            </w:pPr>
            <w:r>
              <w:rPr/>
              <w:t> </w:t>
            </w:r>
          </w:p>
        </w:tc>
      </w:tr>
      <w:tr>
        <w:trPr/>
        <w:tc>
          <w:tcPr>
            <w:tcW w:w="780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accrued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447,770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591,387</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long-term borrowings and finance lease obligations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32,052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22,192</w:t>
            </w:r>
          </w:p>
        </w:tc>
        <w:tc>
          <w:tcPr>
            <w:tcW w:w="82" w:type="dxa"/>
            <w:tcBorders/>
            <w:shd w:fill="CCEEFF" w:val="clear"/>
            <w:vAlign w:val="center"/>
          </w:tcPr>
          <w:p>
            <w:pPr>
              <w:pStyle w:val="TableContents"/>
              <w:bidi w:val="0"/>
              <w:spacing w:before="0" w:after="0"/>
              <w:jc w:val="left"/>
              <w:rPr/>
            </w:pPr>
            <w:r>
              <w:rPr/>
              <w:t> </w:t>
            </w:r>
          </w:p>
        </w:tc>
      </w:tr>
      <w:tr>
        <w:trPr/>
        <w:tc>
          <w:tcPr>
            <w:tcW w:w="780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1,190,061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9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1,215,346</w:t>
            </w:r>
          </w:p>
        </w:tc>
        <w:tc>
          <w:tcPr>
            <w:tcW w:w="82" w:type="dxa"/>
            <w:tcBorders/>
            <w:shd w:fill="FFFFFF" w:val="clear"/>
            <w:vAlign w:val="center"/>
          </w:tcPr>
          <w:p>
            <w:pPr>
              <w:pStyle w:val="TableContents"/>
              <w:bidi w:val="0"/>
              <w:spacing w:before="0" w:after="283"/>
              <w:jc w:val="left"/>
              <w:rPr/>
            </w:pPr>
            <w:r>
              <w:rPr/>
              <w:t> </w:t>
            </w:r>
          </w:p>
        </w:tc>
      </w:tr>
      <w:tr>
        <w:trPr/>
        <w:tc>
          <w:tcPr>
            <w:tcW w:w="78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80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borrowings and finance lease obligations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1,248,958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1,260,256</w:t>
            </w:r>
          </w:p>
        </w:tc>
        <w:tc>
          <w:tcPr>
            <w:tcW w:w="82" w:type="dxa"/>
            <w:tcBorders/>
            <w:shd w:fill="FFFFFF" w:val="clear"/>
            <w:vAlign w:val="center"/>
          </w:tcPr>
          <w:p>
            <w:pPr>
              <w:pStyle w:val="TableContents"/>
              <w:bidi w:val="0"/>
              <w:spacing w:before="0" w:after="283"/>
              <w:jc w:val="left"/>
              <w:rPr/>
            </w:pPr>
            <w:r>
              <w:rPr/>
              <w:t> </w:t>
            </w:r>
          </w:p>
        </w:tc>
      </w:tr>
      <w:tr>
        <w:trPr/>
        <w:tc>
          <w:tcPr>
            <w:tcW w:w="7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54,270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60,913</w:t>
            </w:r>
          </w:p>
        </w:tc>
        <w:tc>
          <w:tcPr>
            <w:tcW w:w="82" w:type="dxa"/>
            <w:tcBorders/>
            <w:shd w:fill="CCEEFF" w:val="clear"/>
            <w:vAlign w:val="center"/>
          </w:tcPr>
          <w:p>
            <w:pPr>
              <w:pStyle w:val="TableContents"/>
              <w:bidi w:val="0"/>
              <w:spacing w:before="0" w:after="283"/>
              <w:jc w:val="left"/>
              <w:rPr/>
            </w:pPr>
            <w:r>
              <w:rPr/>
              <w:t> </w:t>
            </w:r>
          </w:p>
        </w:tc>
      </w:tr>
      <w:tr>
        <w:trPr/>
        <w:tc>
          <w:tcPr>
            <w:tcW w:w="780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227,820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232,921</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and other long-term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173,047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165,197</w:t>
            </w:r>
          </w:p>
        </w:tc>
        <w:tc>
          <w:tcPr>
            <w:tcW w:w="82" w:type="dxa"/>
            <w:tcBorders/>
            <w:shd w:fill="CCEEFF" w:val="clear"/>
            <w:vAlign w:val="center"/>
          </w:tcPr>
          <w:p>
            <w:pPr>
              <w:pStyle w:val="TableContents"/>
              <w:bidi w:val="0"/>
              <w:spacing w:before="0" w:after="0"/>
              <w:jc w:val="left"/>
              <w:rPr/>
            </w:pPr>
            <w:r>
              <w:rPr/>
              <w:t> </w:t>
            </w:r>
          </w:p>
        </w:tc>
      </w:tr>
      <w:tr>
        <w:trPr/>
        <w:tc>
          <w:tcPr>
            <w:tcW w:w="780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2,894,156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9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2,934,633</w:t>
            </w:r>
          </w:p>
        </w:tc>
        <w:tc>
          <w:tcPr>
            <w:tcW w:w="82" w:type="dxa"/>
            <w:tcBorders/>
            <w:shd w:fill="FFFFFF" w:val="clear"/>
            <w:vAlign w:val="center"/>
          </w:tcPr>
          <w:p>
            <w:pPr>
              <w:pStyle w:val="TableContents"/>
              <w:bidi w:val="0"/>
              <w:spacing w:before="0" w:after="283"/>
              <w:jc w:val="left"/>
              <w:rPr/>
            </w:pPr>
            <w:r>
              <w:rPr/>
              <w:t> </w:t>
            </w:r>
          </w:p>
        </w:tc>
      </w:tr>
      <w:tr>
        <w:trPr/>
        <w:tc>
          <w:tcPr>
            <w:tcW w:w="78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80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Redeemable non-controlling interest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742</w:t>
            </w:r>
          </w:p>
        </w:tc>
        <w:tc>
          <w:tcPr>
            <w:tcW w:w="82" w:type="dxa"/>
            <w:tcBorders/>
            <w:shd w:fill="FFFFFF" w:val="clear"/>
            <w:vAlign w:val="center"/>
          </w:tcPr>
          <w:p>
            <w:pPr>
              <w:pStyle w:val="TableContents"/>
              <w:bidi w:val="0"/>
              <w:spacing w:before="0" w:after="283"/>
              <w:jc w:val="left"/>
              <w:rPr/>
            </w:pPr>
            <w:r>
              <w:rPr/>
              <w:t> </w:t>
            </w:r>
          </w:p>
        </w:tc>
      </w:tr>
      <w:tr>
        <w:trPr/>
        <w:tc>
          <w:tcPr>
            <w:tcW w:w="78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80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par value $0.01, 500,000,000 shares authorized, 74,234,629 and 74,050,753 shares issued at June 30,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741</w:t>
            </w:r>
          </w:p>
        </w:tc>
        <w:tc>
          <w:tcPr>
            <w:tcW w:w="82" w:type="dxa"/>
            <w:tcBorders/>
            <w:shd w:fill="CCEEFF" w:val="clear"/>
            <w:vAlign w:val="center"/>
          </w:tcPr>
          <w:p>
            <w:pPr>
              <w:pStyle w:val="TableContents"/>
              <w:bidi w:val="0"/>
              <w:spacing w:before="0" w:after="283"/>
              <w:jc w:val="left"/>
              <w:rPr/>
            </w:pPr>
            <w:r>
              <w:rPr/>
              <w:t> </w:t>
            </w:r>
          </w:p>
        </w:tc>
      </w:tr>
      <w:tr>
        <w:trPr/>
        <w:tc>
          <w:tcPr>
            <w:tcW w:w="780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1,211,335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1,187,419</w:t>
            </w:r>
          </w:p>
        </w:tc>
        <w:tc>
          <w:tcPr>
            <w:tcW w:w="82" w:type="dxa"/>
            <w:tcBorders/>
            <w:shd w:fill="FFFFFF" w:val="clear"/>
            <w:vAlign w:val="center"/>
          </w:tcPr>
          <w:p>
            <w:pPr>
              <w:pStyle w:val="TableContents"/>
              <w:bidi w:val="0"/>
              <w:spacing w:before="0" w:after="283"/>
              <w:jc w:val="left"/>
              <w:rPr/>
            </w:pPr>
            <w:r>
              <w:rPr/>
              <w:t> </w:t>
            </w:r>
          </w:p>
        </w:tc>
      </w:tr>
      <w:tr>
        <w:trPr/>
        <w:tc>
          <w:tcPr>
            <w:tcW w:w="7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Treasury stock, at cost, 15,228,990 and 15,373,990 shares at June 30,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(1,334,835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(1,358,053</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0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Excess purchase price over predecessor basis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(202,116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(202,116</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3,220,054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3,003,557</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0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 income</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(17,557</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6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w:t>
            </w:r>
          </w:p>
        </w:tc>
        <w:tc>
          <w:tcPr>
            <w:tcW w:w="82" w:type="dxa"/>
            <w:tcBorders/>
            <w:shd w:fill="FFFFFF" w:val="clear"/>
            <w:vAlign w:val="center"/>
          </w:tcPr>
          <w:p>
            <w:pPr>
              <w:pStyle w:val="TableContents"/>
              <w:bidi w:val="0"/>
              <w:spacing w:before="0" w:after="0"/>
              <w:jc w:val="left"/>
              <w:rPr/>
            </w:pPr>
            <w:r>
              <w:rPr/>
              <w:t> </w:t>
            </w:r>
          </w:p>
        </w:tc>
      </w:tr>
      <w:tr>
        <w:trPr/>
        <w:tc>
          <w:tcPr>
            <w:tcW w:w="7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 attributable to Generac Holdings Inc.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2,877,623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9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2,632,422</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0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Noncontrolling interests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6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5,882</w:t>
            </w:r>
          </w:p>
        </w:tc>
        <w:tc>
          <w:tcPr>
            <w:tcW w:w="82" w:type="dxa"/>
            <w:tcBorders/>
            <w:shd w:fill="FFFFFF" w:val="clear"/>
            <w:vAlign w:val="center"/>
          </w:tcPr>
          <w:p>
            <w:pPr>
              <w:pStyle w:val="TableContents"/>
              <w:bidi w:val="0"/>
              <w:spacing w:before="0" w:after="0"/>
              <w:jc w:val="left"/>
              <w:rPr/>
            </w:pPr>
            <w:r>
              <w:rPr/>
              <w:t> </w:t>
            </w:r>
          </w:p>
        </w:tc>
      </w:tr>
      <w:tr>
        <w:trPr/>
        <w:tc>
          <w:tcPr>
            <w:tcW w:w="7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2,877,628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2,638,304</w:t>
            </w:r>
          </w:p>
        </w:tc>
        <w:tc>
          <w:tcPr>
            <w:tcW w:w="82" w:type="dxa"/>
            <w:tcBorders/>
            <w:shd w:fill="CCEEFF" w:val="clear"/>
            <w:vAlign w:val="center"/>
          </w:tcPr>
          <w:p>
            <w:pPr>
              <w:pStyle w:val="TableContents"/>
              <w:bidi w:val="0"/>
              <w:spacing w:before="0" w:after="283"/>
              <w:jc w:val="left"/>
              <w:rPr/>
            </w:pPr>
            <w:r>
              <w:rPr/>
              <w:t> </w:t>
            </w:r>
          </w:p>
        </w:tc>
      </w:tr>
      <w:tr>
        <w:trPr/>
        <w:tc>
          <w:tcPr>
            <w:tcW w:w="780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5,772,151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5,573,679</w:t>
            </w:r>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4760" w:type="dxa"/>
        <w:jc w:val="left"/>
        <w:tblInd w:w="0" w:type="dxa"/>
        <w:tblLayout w:type="fixed"/>
        <w:tblCellMar>
          <w:top w:w="0" w:type="dxa"/>
          <w:left w:w="0" w:type="dxa"/>
          <w:bottom w:w="0" w:type="dxa"/>
          <w:right w:w="0" w:type="dxa"/>
        </w:tblCellMar>
      </w:tblPr>
      <w:tblGrid>
        <w:gridCol w:w="4760"/>
      </w:tblGrid>
      <w:tr>
        <w:trPr/>
        <w:tc>
          <w:tcPr>
            <w:tcW w:w="4760"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See notes to condensed consolidated financial statements.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tbl>
      <w:tblPr>
        <w:tblW w:w="6035" w:type="dxa"/>
        <w:jc w:val="left"/>
        <w:tblInd w:w="0" w:type="dxa"/>
        <w:tblLayout w:type="fixed"/>
        <w:tblCellMar>
          <w:top w:w="0" w:type="dxa"/>
          <w:left w:w="0" w:type="dxa"/>
          <w:bottom w:w="0" w:type="dxa"/>
          <w:right w:w="0" w:type="dxa"/>
        </w:tblCellMar>
      </w:tblPr>
      <w:tblGrid>
        <w:gridCol w:w="6035"/>
      </w:tblGrid>
      <w:tr>
        <w:trPr/>
        <w:tc>
          <w:tcPr>
            <w:tcW w:w="6035" w:type="dxa"/>
            <w:tcBorders/>
            <w:vAlign w:val="center"/>
          </w:tcPr>
          <w:p>
            <w:pPr>
              <w:pStyle w:val="TableContents"/>
              <w:bidi w:val="0"/>
              <w:spacing w:before="0" w:after="0"/>
              <w:ind w:left="0" w:right="0" w:hanging="0"/>
              <w:jc w:val="center"/>
              <w:rPr>
                <w:rFonts w:ascii="Times New Roman;Times;serif" w:hAnsi="Times New Roman;Times;serif"/>
                <w:sz w:val="24"/>
              </w:rPr>
            </w:pPr>
            <w:bookmarkStart w:id="4" w:name="compinc"/>
            <w:bookmarkEnd w:id="4"/>
            <w:r>
              <w:rPr>
                <w:rFonts w:ascii="Times New Roman;Times;serif" w:hAnsi="Times New Roman;Times;serif"/>
                <w:sz w:val="24"/>
              </w:rPr>
              <w:t>Generac Holdings Inc.</w:t>
            </w:r>
          </w:p>
        </w:tc>
      </w:tr>
      <w:tr>
        <w:trPr/>
        <w:tc>
          <w:tcPr>
            <w:tcW w:w="6035"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Condensed Consolidated Statements of Comprehensive Income</w:t>
            </w:r>
          </w:p>
        </w:tc>
      </w:tr>
      <w:tr>
        <w:trPr/>
        <w:tc>
          <w:tcPr>
            <w:tcW w:w="6035"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(U.S. Dollars in Thousands, Except Share and Per Share Data)</w:t>
            </w:r>
          </w:p>
        </w:tc>
      </w:tr>
      <w:tr>
        <w:trPr/>
        <w:tc>
          <w:tcPr>
            <w:tcW w:w="603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170"/>
        <w:gridCol w:w="60"/>
        <w:gridCol w:w="134"/>
        <w:gridCol w:w="1020"/>
        <w:gridCol w:w="85"/>
        <w:gridCol w:w="63"/>
        <w:gridCol w:w="134"/>
        <w:gridCol w:w="1020"/>
        <w:gridCol w:w="80"/>
        <w:gridCol w:w="60"/>
        <w:gridCol w:w="125"/>
        <w:gridCol w:w="953"/>
        <w:gridCol w:w="80"/>
        <w:gridCol w:w="60"/>
        <w:gridCol w:w="125"/>
        <w:gridCol w:w="953"/>
        <w:gridCol w:w="83"/>
      </w:tblGrid>
      <w:tr>
        <w:trPr/>
        <w:tc>
          <w:tcPr>
            <w:tcW w:w="5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5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83" w:type="dxa"/>
            <w:tcBorders/>
            <w:shd w:fill="FFFFFF" w:val="clear"/>
            <w:vAlign w:val="center"/>
          </w:tcPr>
          <w:p>
            <w:pPr>
              <w:pStyle w:val="TableContents"/>
              <w:bidi w:val="0"/>
              <w:spacing w:before="0" w:after="283"/>
              <w:jc w:val="left"/>
              <w:rPr/>
            </w:pPr>
            <w:r>
              <w:rPr/>
              <w:t> </w:t>
            </w:r>
          </w:p>
        </w:tc>
      </w:tr>
      <w:tr>
        <w:trPr/>
        <w:tc>
          <w:tcPr>
            <w:tcW w:w="5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1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3" w:type="dxa"/>
            <w:tcBorders/>
            <w:shd w:fill="FFFFFF" w:val="clear"/>
            <w:vAlign w:val="center"/>
          </w:tcPr>
          <w:p>
            <w:pPr>
              <w:pStyle w:val="TableContents"/>
              <w:bidi w:val="0"/>
              <w:spacing w:before="0" w:after="283"/>
              <w:jc w:val="left"/>
              <w:rPr/>
            </w:pPr>
            <w:r>
              <w:rPr/>
              <w:t> </w:t>
            </w:r>
          </w:p>
        </w:tc>
      </w:tr>
      <w:tr>
        <w:trPr/>
        <w:tc>
          <w:tcPr>
            <w:tcW w:w="5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5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1,173,510</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1,061,169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2,232,875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2,003,290</w:t>
            </w:r>
          </w:p>
        </w:tc>
        <w:tc>
          <w:tcPr>
            <w:tcW w:w="83" w:type="dxa"/>
            <w:tcBorders/>
            <w:shd w:fill="CCEEFF" w:val="clear"/>
            <w:vAlign w:val="center"/>
          </w:tcPr>
          <w:p>
            <w:pPr>
              <w:pStyle w:val="TableContents"/>
              <w:bidi w:val="0"/>
              <w:spacing w:before="0" w:after="283"/>
              <w:jc w:val="left"/>
              <w:rPr/>
            </w:pPr>
            <w:r>
              <w:rPr/>
              <w:t> </w:t>
            </w:r>
          </w:p>
        </w:tc>
      </w:tr>
      <w:tr>
        <w:trPr/>
        <w:tc>
          <w:tcPr>
            <w:tcW w:w="5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of goods sold</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651,699</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644,420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1,300,828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1,214,555</w:t>
            </w:r>
          </w:p>
        </w:tc>
        <w:tc>
          <w:tcPr>
            <w:tcW w:w="83" w:type="dxa"/>
            <w:tcBorders/>
            <w:shd w:fill="FFFFFF" w:val="clear"/>
            <w:vAlign w:val="center"/>
          </w:tcPr>
          <w:p>
            <w:pPr>
              <w:pStyle w:val="TableContents"/>
              <w:bidi w:val="0"/>
              <w:spacing w:before="0" w:after="283"/>
              <w:jc w:val="left"/>
              <w:rPr/>
            </w:pPr>
            <w:r>
              <w:rPr/>
              <w:t> </w:t>
            </w:r>
          </w:p>
        </w:tc>
      </w:tr>
      <w:tr>
        <w:trPr/>
        <w:tc>
          <w:tcPr>
            <w:tcW w:w="5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521,811</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416,749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932,047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788,735</w:t>
            </w:r>
          </w:p>
        </w:tc>
        <w:tc>
          <w:tcPr>
            <w:tcW w:w="83" w:type="dxa"/>
            <w:tcBorders/>
            <w:shd w:fill="CCEEFF" w:val="clear"/>
            <w:vAlign w:val="center"/>
          </w:tcPr>
          <w:p>
            <w:pPr>
              <w:pStyle w:val="TableContents"/>
              <w:bidi w:val="0"/>
              <w:spacing w:before="0" w:after="283"/>
              <w:jc w:val="left"/>
              <w:rPr/>
            </w:pPr>
            <w:r>
              <w:rPr/>
              <w:t> </w:t>
            </w:r>
          </w:p>
        </w:tc>
      </w:tr>
      <w:tr>
        <w:trPr/>
        <w:tc>
          <w:tcPr>
            <w:tcW w:w="5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5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51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and service</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141,627</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139,495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265,251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265,560</w:t>
            </w:r>
          </w:p>
        </w:tc>
        <w:tc>
          <w:tcPr>
            <w:tcW w:w="83" w:type="dxa"/>
            <w:tcBorders/>
            <w:shd w:fill="FFFFFF" w:val="clear"/>
            <w:vAlign w:val="center"/>
          </w:tcPr>
          <w:p>
            <w:pPr>
              <w:pStyle w:val="TableContents"/>
              <w:bidi w:val="0"/>
              <w:spacing w:before="0" w:after="283"/>
              <w:jc w:val="left"/>
              <w:rPr/>
            </w:pPr>
            <w:r>
              <w:rPr/>
              <w:t> </w:t>
            </w:r>
          </w:p>
        </w:tc>
      </w:tr>
      <w:tr>
        <w:trPr/>
        <w:tc>
          <w:tcPr>
            <w:tcW w:w="51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65,781</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60,354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128,437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122,402</w:t>
            </w:r>
          </w:p>
        </w:tc>
        <w:tc>
          <w:tcPr>
            <w:tcW w:w="83" w:type="dxa"/>
            <w:tcBorders/>
            <w:shd w:fill="CCEEFF" w:val="clear"/>
            <w:vAlign w:val="center"/>
          </w:tcPr>
          <w:p>
            <w:pPr>
              <w:pStyle w:val="TableContents"/>
              <w:bidi w:val="0"/>
              <w:spacing w:before="0" w:after="283"/>
              <w:jc w:val="left"/>
              <w:rPr/>
            </w:pPr>
            <w:r>
              <w:rPr/>
              <w:t> </w:t>
            </w:r>
          </w:p>
        </w:tc>
      </w:tr>
      <w:tr>
        <w:trPr/>
        <w:tc>
          <w:tcPr>
            <w:tcW w:w="51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73,155</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79,430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149,440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154,176</w:t>
            </w:r>
          </w:p>
        </w:tc>
        <w:tc>
          <w:tcPr>
            <w:tcW w:w="83" w:type="dxa"/>
            <w:tcBorders/>
            <w:shd w:fill="FFFFFF" w:val="clear"/>
            <w:vAlign w:val="center"/>
          </w:tcPr>
          <w:p>
            <w:pPr>
              <w:pStyle w:val="TableContents"/>
              <w:bidi w:val="0"/>
              <w:spacing w:before="0" w:after="283"/>
              <w:jc w:val="left"/>
              <w:rPr/>
            </w:pPr>
            <w:r>
              <w:rPr/>
              <w:t> </w:t>
            </w:r>
          </w:p>
        </w:tc>
      </w:tr>
      <w:tr>
        <w:trPr/>
        <w:tc>
          <w:tcPr>
            <w:tcW w:w="51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intangibles</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30,815</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51,170</w:t>
            </w:r>
          </w:p>
        </w:tc>
        <w:tc>
          <w:tcPr>
            <w:tcW w:w="83" w:type="dxa"/>
            <w:tcBorders/>
            <w:shd w:fill="CCEEFF" w:val="clear"/>
            <w:vAlign w:val="center"/>
          </w:tcPr>
          <w:p>
            <w:pPr>
              <w:pStyle w:val="TableContents"/>
              <w:bidi w:val="0"/>
              <w:spacing w:before="0" w:after="283"/>
              <w:jc w:val="left"/>
              <w:rPr/>
            </w:pPr>
            <w:r>
              <w:rPr/>
              <w:t> </w:t>
            </w:r>
          </w:p>
        </w:tc>
      </w:tr>
      <w:tr>
        <w:trPr/>
        <w:tc>
          <w:tcPr>
            <w:tcW w:w="5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311,378</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304,960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604,323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593,308</w:t>
            </w:r>
          </w:p>
        </w:tc>
        <w:tc>
          <w:tcPr>
            <w:tcW w:w="83" w:type="dxa"/>
            <w:tcBorders/>
            <w:shd w:fill="FFFFFF" w:val="clear"/>
            <w:vAlign w:val="center"/>
          </w:tcPr>
          <w:p>
            <w:pPr>
              <w:pStyle w:val="TableContents"/>
              <w:bidi w:val="0"/>
              <w:spacing w:before="0" w:after="283"/>
              <w:jc w:val="left"/>
              <w:rPr/>
            </w:pPr>
            <w:r>
              <w:rPr/>
              <w:t> </w:t>
            </w:r>
          </w:p>
        </w:tc>
      </w:tr>
      <w:tr>
        <w:trPr/>
        <w:tc>
          <w:tcPr>
            <w:tcW w:w="5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from operations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210,433</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111,789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327,724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195,427</w:t>
            </w:r>
          </w:p>
        </w:tc>
        <w:tc>
          <w:tcPr>
            <w:tcW w:w="83" w:type="dxa"/>
            <w:tcBorders/>
            <w:shd w:fill="CCEEFF" w:val="clear"/>
            <w:vAlign w:val="center"/>
          </w:tcPr>
          <w:p>
            <w:pPr>
              <w:pStyle w:val="TableContents"/>
              <w:bidi w:val="0"/>
              <w:spacing w:before="0" w:after="283"/>
              <w:jc w:val="left"/>
              <w:rPr/>
            </w:pPr>
            <w:r>
              <w:rPr/>
              <w:t> </w:t>
            </w:r>
          </w:p>
        </w:tc>
      </w:tr>
      <w:tr>
        <w:trPr/>
        <w:tc>
          <w:tcPr>
            <w:tcW w:w="5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5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income:</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51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(16,787</w:t>
            </w:r>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(32,163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(35,352</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income</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3,561</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3,972</w:t>
            </w:r>
          </w:p>
        </w:tc>
        <w:tc>
          <w:tcPr>
            <w:tcW w:w="83" w:type="dxa"/>
            <w:tcBorders/>
            <w:shd w:fill="CCEEFF" w:val="clear"/>
            <w:vAlign w:val="center"/>
          </w:tcPr>
          <w:p>
            <w:pPr>
              <w:pStyle w:val="TableContents"/>
              <w:bidi w:val="0"/>
              <w:spacing w:before="0" w:after="283"/>
              <w:jc w:val="left"/>
              <w:rPr/>
            </w:pPr>
            <w:r>
              <w:rPr/>
              <w:t> </w:t>
            </w:r>
          </w:p>
        </w:tc>
      </w:tr>
      <w:tr>
        <w:trPr/>
        <w:tc>
          <w:tcPr>
            <w:tcW w:w="51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investments</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5,916</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(11,471</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attributable to business dispositions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(13,456</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(18,238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(3,905</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net</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expense, net</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(20,727</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(21,937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(41,259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(47,061</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5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provision for income taxes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189,706</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89,852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286,465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148,366</w:t>
            </w:r>
          </w:p>
        </w:tc>
        <w:tc>
          <w:tcPr>
            <w:tcW w:w="83" w:type="dxa"/>
            <w:tcBorders/>
            <w:shd w:fill="CCEEFF" w:val="clear"/>
            <w:vAlign w:val="center"/>
          </w:tcPr>
          <w:p>
            <w:pPr>
              <w:pStyle w:val="TableContents"/>
              <w:bidi w:val="0"/>
              <w:spacing w:before="0" w:after="283"/>
              <w:jc w:val="left"/>
              <w:rPr/>
            </w:pPr>
            <w:r>
              <w:rPr/>
              <w:t> </w:t>
            </w:r>
          </w:p>
        </w:tc>
      </w:tr>
      <w:tr>
        <w:trPr/>
        <w:tc>
          <w:tcPr>
            <w:tcW w:w="5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46,696</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70,343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29,658</w:t>
            </w:r>
          </w:p>
        </w:tc>
        <w:tc>
          <w:tcPr>
            <w:tcW w:w="83" w:type="dxa"/>
            <w:tcBorders/>
            <w:shd w:fill="FFFFFF" w:val="clear"/>
            <w:vAlign w:val="center"/>
          </w:tcPr>
          <w:p>
            <w:pPr>
              <w:pStyle w:val="TableContents"/>
              <w:bidi w:val="0"/>
              <w:spacing w:before="0" w:after="283"/>
              <w:jc w:val="left"/>
              <w:rPr/>
            </w:pPr>
            <w:r>
              <w:rPr/>
              <w:t> </w:t>
            </w:r>
          </w:p>
        </w:tc>
      </w:tr>
      <w:tr>
        <w:trPr/>
        <w:tc>
          <w:tcPr>
            <w:tcW w:w="5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143,010</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74,430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216,122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118,708</w:t>
            </w:r>
          </w:p>
        </w:tc>
        <w:tc>
          <w:tcPr>
            <w:tcW w:w="83" w:type="dxa"/>
            <w:tcBorders/>
            <w:shd w:fill="CCEEFF" w:val="clear"/>
            <w:vAlign w:val="center"/>
          </w:tcPr>
          <w:p>
            <w:pPr>
              <w:pStyle w:val="TableContents"/>
              <w:bidi w:val="0"/>
              <w:spacing w:before="0" w:after="283"/>
              <w:jc w:val="left"/>
              <w:rPr/>
            </w:pPr>
            <w:r>
              <w:rPr/>
              <w:t> </w:t>
            </w:r>
          </w:p>
        </w:tc>
      </w:tr>
      <w:tr>
        <w:trPr/>
        <w:tc>
          <w:tcPr>
            <w:tcW w:w="5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income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w:t>
            </w:r>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852</w:t>
            </w:r>
          </w:p>
        </w:tc>
        <w:tc>
          <w:tcPr>
            <w:tcW w:w="83" w:type="dxa"/>
            <w:tcBorders/>
            <w:shd w:fill="FFFFFF" w:val="clear"/>
            <w:vAlign w:val="center"/>
          </w:tcPr>
          <w:p>
            <w:pPr>
              <w:pStyle w:val="TableContents"/>
              <w:bidi w:val="0"/>
              <w:spacing w:before="0" w:after="283"/>
              <w:jc w:val="left"/>
              <w:rPr/>
            </w:pPr>
            <w:r>
              <w:rPr/>
              <w:t> </w:t>
            </w:r>
          </w:p>
        </w:tc>
      </w:tr>
      <w:tr>
        <w:trPr/>
        <w:tc>
          <w:tcPr>
            <w:tcW w:w="5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attributable to Generac Holdings Inc.</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143,244</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216,497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117,856</w:t>
            </w:r>
          </w:p>
        </w:tc>
        <w:tc>
          <w:tcPr>
            <w:tcW w:w="83" w:type="dxa"/>
            <w:tcBorders/>
            <w:shd w:fill="CCEEFF" w:val="clear"/>
            <w:vAlign w:val="center"/>
          </w:tcPr>
          <w:p>
            <w:pPr>
              <w:pStyle w:val="TableContents"/>
              <w:bidi w:val="0"/>
              <w:spacing w:before="0" w:after="283"/>
              <w:jc w:val="left"/>
              <w:rPr/>
            </w:pPr>
            <w:r>
              <w:rPr/>
              <w:t> </w:t>
            </w:r>
          </w:p>
        </w:tc>
      </w:tr>
      <w:tr>
        <w:trPr/>
        <w:tc>
          <w:tcPr>
            <w:tcW w:w="5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5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attributable to Generac Holdings Inc. per common share - basic:</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w:t>
            </w:r>
          </w:p>
        </w:tc>
        <w:tc>
          <w:tcPr>
            <w:tcW w:w="83" w:type="dxa"/>
            <w:tcBorders/>
            <w:shd w:fill="CCEEFF" w:val="clear"/>
            <w:vAlign w:val="center"/>
          </w:tcPr>
          <w:p>
            <w:pPr>
              <w:pStyle w:val="TableContents"/>
              <w:bidi w:val="0"/>
              <w:spacing w:before="0" w:after="283"/>
              <w:jc w:val="left"/>
              <w:rPr/>
            </w:pPr>
            <w:r>
              <w:rPr/>
              <w:t> </w:t>
            </w:r>
          </w:p>
        </w:tc>
      </w:tr>
      <w:tr>
        <w:trPr/>
        <w:tc>
          <w:tcPr>
            <w:tcW w:w="51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shares outstanding - basic:</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58,822,634</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58,496,998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58,615,919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58,771,818</w:t>
            </w:r>
          </w:p>
        </w:tc>
        <w:tc>
          <w:tcPr>
            <w:tcW w:w="83" w:type="dxa"/>
            <w:tcBorders/>
            <w:shd w:fill="FFFFFF" w:val="clear"/>
            <w:vAlign w:val="center"/>
          </w:tcPr>
          <w:p>
            <w:pPr>
              <w:pStyle w:val="TableContents"/>
              <w:bidi w:val="0"/>
              <w:spacing w:before="0" w:after="283"/>
              <w:jc w:val="left"/>
              <w:rPr/>
            </w:pPr>
            <w:r>
              <w:rPr/>
              <w:t> </w:t>
            </w:r>
          </w:p>
        </w:tc>
      </w:tr>
      <w:tr>
        <w:trPr/>
        <w:tc>
          <w:tcPr>
            <w:tcW w:w="5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5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attributable to Generac Holdings Inc. per common share - 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w:t>
            </w:r>
          </w:p>
        </w:tc>
        <w:tc>
          <w:tcPr>
            <w:tcW w:w="83" w:type="dxa"/>
            <w:tcBorders/>
            <w:shd w:fill="FFFFFF" w:val="clear"/>
            <w:vAlign w:val="center"/>
          </w:tcPr>
          <w:p>
            <w:pPr>
              <w:pStyle w:val="TableContents"/>
              <w:bidi w:val="0"/>
              <w:spacing w:before="0" w:after="283"/>
              <w:jc w:val="left"/>
              <w:rPr/>
            </w:pPr>
            <w:r>
              <w:rPr/>
              <w:t> </w:t>
            </w:r>
          </w:p>
        </w:tc>
      </w:tr>
      <w:tr>
        <w:trPr/>
        <w:tc>
          <w:tcPr>
            <w:tcW w:w="51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shares outstanding - diluted:</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59,635,447</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59,017,823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59,436,379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59,385,907</w:t>
            </w:r>
          </w:p>
        </w:tc>
        <w:tc>
          <w:tcPr>
            <w:tcW w:w="83" w:type="dxa"/>
            <w:tcBorders/>
            <w:shd w:fill="CCEEFF" w:val="clear"/>
            <w:vAlign w:val="center"/>
          </w:tcPr>
          <w:p>
            <w:pPr>
              <w:pStyle w:val="TableContents"/>
              <w:bidi w:val="0"/>
              <w:spacing w:before="0" w:after="283"/>
              <w:jc w:val="left"/>
              <w:rPr/>
            </w:pPr>
            <w:r>
              <w:rPr/>
              <w:t> </w:t>
            </w:r>
          </w:p>
        </w:tc>
      </w:tr>
      <w:tr>
        <w:trPr/>
        <w:tc>
          <w:tcPr>
            <w:tcW w:w="5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5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 attributable to Generac Holdings Inc.</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143,217</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137,561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198,066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206,360</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4760" w:type="dxa"/>
        <w:jc w:val="left"/>
        <w:tblInd w:w="0" w:type="dxa"/>
        <w:tblLayout w:type="fixed"/>
        <w:tblCellMar>
          <w:top w:w="0" w:type="dxa"/>
          <w:left w:w="0" w:type="dxa"/>
          <w:bottom w:w="0" w:type="dxa"/>
          <w:right w:w="0" w:type="dxa"/>
        </w:tblCellMar>
      </w:tblPr>
      <w:tblGrid>
        <w:gridCol w:w="4760"/>
      </w:tblGrid>
      <w:tr>
        <w:trPr/>
        <w:tc>
          <w:tcPr>
            <w:tcW w:w="4760"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See notes to condensed consolidated financial statements.</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tbl>
      <w:tblPr>
        <w:tblW w:w="5750" w:type="dxa"/>
        <w:jc w:val="left"/>
        <w:tblInd w:w="0" w:type="dxa"/>
        <w:tblLayout w:type="fixed"/>
        <w:tblCellMar>
          <w:top w:w="0" w:type="dxa"/>
          <w:left w:w="0" w:type="dxa"/>
          <w:bottom w:w="0" w:type="dxa"/>
          <w:right w:w="0" w:type="dxa"/>
        </w:tblCellMar>
      </w:tblPr>
      <w:tblGrid>
        <w:gridCol w:w="5750"/>
      </w:tblGrid>
      <w:tr>
        <w:trPr/>
        <w:tc>
          <w:tcPr>
            <w:tcW w:w="5750" w:type="dxa"/>
            <w:tcBorders/>
            <w:vAlign w:val="center"/>
          </w:tcPr>
          <w:p>
            <w:pPr>
              <w:pStyle w:val="TableContents"/>
              <w:bidi w:val="0"/>
              <w:spacing w:before="0" w:after="0"/>
              <w:ind w:left="0" w:right="0" w:hanging="0"/>
              <w:jc w:val="center"/>
              <w:rPr>
                <w:rFonts w:ascii="Times New Roman;Times;serif" w:hAnsi="Times New Roman;Times;serif"/>
                <w:sz w:val="24"/>
              </w:rPr>
            </w:pPr>
            <w:bookmarkStart w:id="5" w:name="equity"/>
            <w:bookmarkEnd w:id="5"/>
            <w:r>
              <w:rPr>
                <w:rFonts w:ascii="Times New Roman;Times;serif" w:hAnsi="Times New Roman;Times;serif"/>
                <w:sz w:val="24"/>
              </w:rPr>
              <w:t>Generac Holdings Inc.</w:t>
            </w:r>
          </w:p>
        </w:tc>
      </w:tr>
      <w:tr>
        <w:trPr/>
        <w:tc>
          <w:tcPr>
            <w:tcW w:w="5750"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Condensed Consolidated Statements of Stockholders' Equity</w:t>
            </w:r>
          </w:p>
        </w:tc>
      </w:tr>
      <w:tr>
        <w:trPr/>
        <w:tc>
          <w:tcPr>
            <w:tcW w:w="5750"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(U.S. Dollars in Thousands, Except Share Data)</w:t>
            </w:r>
          </w:p>
        </w:tc>
      </w:tr>
      <w:tr>
        <w:trPr/>
        <w:tc>
          <w:tcPr>
            <w:tcW w:w="57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tc>
      </w:tr>
    </w:tbl>
    <w:p>
      <w:pPr>
        <w:pStyle w:val="TextBody"/>
        <w:bidi w:val="0"/>
        <w:spacing w:before="0" w:after="0"/>
        <w:ind w:left="0" w:right="0" w:hanging="0"/>
        <w:jc w:val="left"/>
        <w:rPr/>
      </w:pPr>
      <w:r>
        <w:rPr/>
        <w:t> </w:t>
      </w:r>
    </w:p>
    <w:tbl>
      <w:tblPr>
        <w:tblW w:w="12250" w:type="dxa"/>
        <w:jc w:val="left"/>
        <w:tblInd w:w="0" w:type="dxa"/>
        <w:tblLayout w:type="fixed"/>
        <w:tblCellMar>
          <w:top w:w="0" w:type="dxa"/>
          <w:left w:w="0" w:type="dxa"/>
          <w:bottom w:w="0" w:type="dxa"/>
          <w:right w:w="0" w:type="dxa"/>
        </w:tblCellMar>
      </w:tblPr>
      <w:tblGrid>
        <w:gridCol w:w="980"/>
        <w:gridCol w:w="60"/>
        <w:gridCol w:w="60"/>
        <w:gridCol w:w="830"/>
        <w:gridCol w:w="60"/>
        <w:gridCol w:w="60"/>
        <w:gridCol w:w="158"/>
        <w:gridCol w:w="417"/>
        <w:gridCol w:w="60"/>
        <w:gridCol w:w="60"/>
        <w:gridCol w:w="110"/>
        <w:gridCol w:w="740"/>
        <w:gridCol w:w="60"/>
        <w:gridCol w:w="60"/>
        <w:gridCol w:w="60"/>
        <w:gridCol w:w="890"/>
        <w:gridCol w:w="80"/>
        <w:gridCol w:w="60"/>
        <w:gridCol w:w="110"/>
        <w:gridCol w:w="800"/>
        <w:gridCol w:w="80"/>
        <w:gridCol w:w="60"/>
        <w:gridCol w:w="180"/>
        <w:gridCol w:w="665"/>
        <w:gridCol w:w="80"/>
        <w:gridCol w:w="60"/>
        <w:gridCol w:w="110"/>
        <w:gridCol w:w="740"/>
        <w:gridCol w:w="60"/>
        <w:gridCol w:w="60"/>
        <w:gridCol w:w="174"/>
        <w:gridCol w:w="911"/>
        <w:gridCol w:w="80"/>
        <w:gridCol w:w="60"/>
        <w:gridCol w:w="119"/>
        <w:gridCol w:w="801"/>
        <w:gridCol w:w="80"/>
        <w:gridCol w:w="60"/>
        <w:gridCol w:w="426"/>
        <w:gridCol w:w="659"/>
        <w:gridCol w:w="80"/>
        <w:gridCol w:w="60"/>
        <w:gridCol w:w="110"/>
        <w:gridCol w:w="740"/>
        <w:gridCol w:w="80"/>
      </w:tblGrid>
      <w:tr>
        <w:trPr/>
        <w:tc>
          <w:tcPr>
            <w:tcW w:w="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15" w:type="dxa"/>
            <w:gridSpan w:val="3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Generac Holdings Inc.</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Excess Purchase Price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Additional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Over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Total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Treasury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Predecessor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Retained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Stockholders'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Noncontrolling</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Shares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Capital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Shares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Amount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Basis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Earnings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Income (Loss)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Equity</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Interests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Total</w:t>
            </w:r>
          </w:p>
        </w:tc>
        <w:tc>
          <w:tcPr>
            <w:tcW w:w="80" w:type="dxa"/>
            <w:tcBorders/>
            <w:shd w:fill="FFFFFF" w:val="clear"/>
            <w:vAlign w:val="center"/>
          </w:tcPr>
          <w:p>
            <w:pPr>
              <w:pStyle w:val="TableContents"/>
              <w:bidi w:val="0"/>
              <w:spacing w:before="0" w:after="283"/>
              <w:jc w:val="left"/>
              <w:rPr/>
            </w:pPr>
            <w:r>
              <w:rPr/>
              <w:t> </w:t>
            </w:r>
          </w:p>
        </w:tc>
      </w:tr>
      <w:tr>
        <w:trPr/>
        <w:tc>
          <w:tcPr>
            <w:tcW w:w="980"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at April 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74,218,726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1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1,195,494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(15,464,527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(1,378,708</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(202,116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3,076,810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4"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1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(17,530</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2,674,692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2,674,698</w:t>
            </w:r>
          </w:p>
        </w:tc>
        <w:tc>
          <w:tcPr>
            <w:tcW w:w="80" w:type="dxa"/>
            <w:tcBorders/>
            <w:shd w:fill="CCEEFF" w:val="clear"/>
            <w:vAlign w:val="center"/>
          </w:tcPr>
          <w:p>
            <w:pPr>
              <w:pStyle w:val="TableContents"/>
              <w:bidi w:val="0"/>
              <w:spacing w:before="0" w:after="283"/>
              <w:jc w:val="left"/>
              <w:rPr/>
            </w:pPr>
            <w:r>
              <w:rPr/>
              <w:t> </w:t>
            </w:r>
          </w:p>
        </w:tc>
      </w:tr>
      <w:tr>
        <w:trPr/>
        <w:tc>
          <w:tcPr>
            <w:tcW w:w="980" w:type="dxa"/>
            <w:tcBorders/>
            <w:shd w:fill="FFFFFF" w:val="clear"/>
            <w:vAlign w:val="center"/>
          </w:tcPr>
          <w:p>
            <w:pPr>
              <w:pStyle w:val="TableContents"/>
              <w:bidi w:val="0"/>
              <w:spacing w:before="0" w:after="0"/>
              <w:ind w:left="180" w:right="0" w:hanging="0"/>
              <w:jc w:val="left"/>
              <w:rPr>
                <w:rFonts w:ascii="Times New Roman;Times;serif" w:hAnsi="Times New Roman;Times;serif"/>
                <w:sz w:val="16"/>
              </w:rPr>
            </w:pPr>
            <w:r>
              <w:rPr>
                <w:rFonts w:ascii="Times New Roman;Times;serif" w:hAnsi="Times New Roman;Times;serif"/>
                <w:sz w:val="16"/>
              </w:rPr>
              <w:t>Unrealized loss on interest rate swaps, net of tax of $720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(2,193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(2,193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(2,193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980" w:type="dxa"/>
            <w:tcBorders/>
            <w:shd w:fill="CCEEFF" w:val="clear"/>
            <w:vAlign w:val="center"/>
          </w:tcPr>
          <w:p>
            <w:pPr>
              <w:pStyle w:val="TableContents"/>
              <w:bidi w:val="0"/>
              <w:spacing w:before="0" w:after="0"/>
              <w:ind w:left="18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91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2,165</w:t>
            </w:r>
          </w:p>
        </w:tc>
        <w:tc>
          <w:tcPr>
            <w:tcW w:w="80" w:type="dxa"/>
            <w:tcBorders/>
            <w:shd w:fill="CCEEFF" w:val="clear"/>
            <w:vAlign w:val="center"/>
          </w:tcPr>
          <w:p>
            <w:pPr>
              <w:pStyle w:val="TableContents"/>
              <w:bidi w:val="0"/>
              <w:spacing w:before="0" w:after="283"/>
              <w:jc w:val="left"/>
              <w:rPr/>
            </w:pPr>
            <w:r>
              <w:rPr/>
              <w:t> </w:t>
            </w:r>
          </w:p>
        </w:tc>
      </w:tr>
      <w:tr>
        <w:trPr/>
        <w:tc>
          <w:tcPr>
            <w:tcW w:w="9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Common stock issued under equity incentive plans, net of forfeitures and shares withheld for employee taxes and strike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15,903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1,836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(8,417</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1,836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1,836</w:t>
            </w:r>
          </w:p>
        </w:tc>
        <w:tc>
          <w:tcPr>
            <w:tcW w:w="80" w:type="dxa"/>
            <w:tcBorders/>
            <w:shd w:fill="FFFFFF" w:val="clear"/>
            <w:vAlign w:val="center"/>
          </w:tcPr>
          <w:p>
            <w:pPr>
              <w:pStyle w:val="TableContents"/>
              <w:bidi w:val="0"/>
              <w:spacing w:before="0" w:after="283"/>
              <w:jc w:val="left"/>
              <w:rPr/>
            </w:pPr>
            <w:r>
              <w:rPr/>
              <w:t> </w:t>
            </w:r>
          </w:p>
        </w:tc>
      </w:tr>
      <w:tr>
        <w:trPr/>
        <w:tc>
          <w:tcPr>
            <w:tcW w:w="980" w:type="dxa"/>
            <w:tcBorders/>
            <w:shd w:fill="CCEEFF" w:val="clear"/>
            <w:vAlign w:val="center"/>
          </w:tcPr>
          <w:p>
            <w:pPr>
              <w:pStyle w:val="TableContents"/>
              <w:bidi w:val="0"/>
              <w:spacing w:before="0" w:after="0"/>
              <w:ind w:left="180" w:right="0" w:hanging="0"/>
              <w:jc w:val="left"/>
              <w:rPr>
                <w:rFonts w:ascii="Times New Roman;Times;serif" w:hAnsi="Times New Roman;Times;serif"/>
                <w:sz w:val="16"/>
              </w:rPr>
            </w:pPr>
            <w:r>
              <w:rPr>
                <w:rFonts w:ascii="Times New Roman;Times;serif" w:hAnsi="Times New Roman;Times;serif"/>
                <w:sz w:val="16"/>
              </w:rPr>
              <w:t>Net share settlement of restricted stock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(3,367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(912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(912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(912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980" w:type="dxa"/>
            <w:tcBorders/>
            <w:shd w:fill="FFFFFF" w:val="clear"/>
            <w:vAlign w:val="center"/>
          </w:tcPr>
          <w:p>
            <w:pPr>
              <w:pStyle w:val="TableContents"/>
              <w:bidi w:val="0"/>
              <w:spacing w:before="0" w:after="0"/>
              <w:ind w:left="180" w:right="0" w:hanging="0"/>
              <w:jc w:val="left"/>
              <w:rPr>
                <w:rFonts w:ascii="Times New Roman;Times;serif" w:hAnsi="Times New Roman;Times;serif"/>
                <w:sz w:val="16"/>
              </w:rPr>
            </w:pPr>
            <w:r>
              <w:rPr>
                <w:rFonts w:ascii="Times New Roman;Times;serif" w:hAnsi="Times New Roman;Times;serif"/>
                <w:sz w:val="16"/>
              </w:rPr>
              <w:t>Treasury stock issued for business combination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247,321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44,785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44,785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44,785</w:t>
            </w:r>
          </w:p>
        </w:tc>
        <w:tc>
          <w:tcPr>
            <w:tcW w:w="80" w:type="dxa"/>
            <w:tcBorders/>
            <w:shd w:fill="FFFFFF" w:val="clear"/>
            <w:vAlign w:val="center"/>
          </w:tcPr>
          <w:p>
            <w:pPr>
              <w:pStyle w:val="TableContents"/>
              <w:bidi w:val="0"/>
              <w:spacing w:before="0" w:after="283"/>
              <w:jc w:val="left"/>
              <w:rPr/>
            </w:pPr>
            <w:r>
              <w:rPr/>
              <w:t> </w:t>
            </w:r>
          </w:p>
        </w:tc>
      </w:tr>
      <w:tr>
        <w:trPr/>
        <w:tc>
          <w:tcPr>
            <w:tcW w:w="980" w:type="dxa"/>
            <w:tcBorders/>
            <w:shd w:fill="CCEEFF" w:val="clear"/>
            <w:vAlign w:val="center"/>
          </w:tcPr>
          <w:p>
            <w:pPr>
              <w:pStyle w:val="TableContents"/>
              <w:bidi w:val="0"/>
              <w:spacing w:before="0" w:after="0"/>
              <w:ind w:left="180" w:right="0" w:hanging="0"/>
              <w:jc w:val="left"/>
              <w:rPr>
                <w:rFonts w:ascii="Times New Roman;Times;serif" w:hAnsi="Times New Roman;Times;serif"/>
                <w:sz w:val="16"/>
              </w:rPr>
            </w:pPr>
            <w:r>
              <w:rPr>
                <w:rFonts w:ascii="Times New Roman;Times;serif" w:hAnsi="Times New Roman;Times;serif"/>
                <w:sz w:val="16"/>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14,005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14,005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14,005</w:t>
            </w:r>
          </w:p>
        </w:tc>
        <w:tc>
          <w:tcPr>
            <w:tcW w:w="80" w:type="dxa"/>
            <w:tcBorders/>
            <w:shd w:fill="CCEEFF" w:val="clear"/>
            <w:vAlign w:val="center"/>
          </w:tcPr>
          <w:p>
            <w:pPr>
              <w:pStyle w:val="TableContents"/>
              <w:bidi w:val="0"/>
              <w:spacing w:before="0" w:after="283"/>
              <w:jc w:val="left"/>
              <w:rPr/>
            </w:pPr>
            <w:r>
              <w:rPr/>
              <w:t> </w:t>
            </w:r>
          </w:p>
        </w:tc>
      </w:tr>
      <w:tr>
        <w:trPr/>
        <w:tc>
          <w:tcPr>
            <w:tcW w:w="9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143,244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143,244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ind w:left="0" w:right="0" w:hanging="0"/>
              <w:jc w:val="left"/>
              <w:rPr/>
            </w:pPr>
            <w:r>
              <w:rPr/>
              <w:t> </w:t>
            </w:r>
          </w:p>
        </w:tc>
        <w:tc>
          <w:tcPr>
            <w:tcW w:w="65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143,244</w:t>
            </w:r>
          </w:p>
        </w:tc>
        <w:tc>
          <w:tcPr>
            <w:tcW w:w="80" w:type="dxa"/>
            <w:tcBorders/>
            <w:shd w:fill="FFFFFF" w:val="clear"/>
            <w:vAlign w:val="center"/>
          </w:tcPr>
          <w:p>
            <w:pPr>
              <w:pStyle w:val="TableContents"/>
              <w:bidi w:val="0"/>
              <w:spacing w:before="0" w:after="283"/>
              <w:jc w:val="left"/>
              <w:rPr/>
            </w:pPr>
            <w:r>
              <w:rPr/>
              <w:t> </w:t>
            </w:r>
          </w:p>
        </w:tc>
      </w:tr>
      <w:tr>
        <w:trPr/>
        <w:tc>
          <w:tcPr>
            <w:tcW w:w="9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41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7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1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42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98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at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74,234,629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1,211,335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(15,228,990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(1,334,835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(202,116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3,220,054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1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(17,557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2,877,623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2,877,628</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2345" w:type="dxa"/>
        <w:jc w:val="left"/>
        <w:tblInd w:w="0" w:type="dxa"/>
        <w:tblLayout w:type="fixed"/>
        <w:tblCellMar>
          <w:top w:w="0" w:type="dxa"/>
          <w:left w:w="0" w:type="dxa"/>
          <w:bottom w:w="0" w:type="dxa"/>
          <w:right w:w="0" w:type="dxa"/>
        </w:tblCellMar>
      </w:tblPr>
      <w:tblGrid>
        <w:gridCol w:w="1055"/>
        <w:gridCol w:w="60"/>
        <w:gridCol w:w="60"/>
        <w:gridCol w:w="830"/>
        <w:gridCol w:w="80"/>
        <w:gridCol w:w="60"/>
        <w:gridCol w:w="158"/>
        <w:gridCol w:w="417"/>
        <w:gridCol w:w="60"/>
        <w:gridCol w:w="60"/>
        <w:gridCol w:w="110"/>
        <w:gridCol w:w="740"/>
        <w:gridCol w:w="60"/>
        <w:gridCol w:w="60"/>
        <w:gridCol w:w="60"/>
        <w:gridCol w:w="890"/>
        <w:gridCol w:w="80"/>
        <w:gridCol w:w="60"/>
        <w:gridCol w:w="110"/>
        <w:gridCol w:w="800"/>
        <w:gridCol w:w="80"/>
        <w:gridCol w:w="60"/>
        <w:gridCol w:w="180"/>
        <w:gridCol w:w="665"/>
        <w:gridCol w:w="80"/>
        <w:gridCol w:w="60"/>
        <w:gridCol w:w="110"/>
        <w:gridCol w:w="740"/>
        <w:gridCol w:w="80"/>
        <w:gridCol w:w="60"/>
        <w:gridCol w:w="174"/>
        <w:gridCol w:w="911"/>
        <w:gridCol w:w="80"/>
        <w:gridCol w:w="60"/>
        <w:gridCol w:w="119"/>
        <w:gridCol w:w="801"/>
        <w:gridCol w:w="80"/>
        <w:gridCol w:w="60"/>
        <w:gridCol w:w="223"/>
        <w:gridCol w:w="862"/>
        <w:gridCol w:w="60"/>
        <w:gridCol w:w="60"/>
        <w:gridCol w:w="110"/>
        <w:gridCol w:w="740"/>
        <w:gridCol w:w="80"/>
      </w:tblGrid>
      <w:tr>
        <w:trPr/>
        <w:tc>
          <w:tcPr>
            <w:tcW w:w="1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55" w:type="dxa"/>
            <w:gridSpan w:val="3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Generac Holdings Inc.</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1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Excess Purchase Price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1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Additional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Over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Total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1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Treasury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Predecessor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Retained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Stockholders'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Noncontrolling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1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Shares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Capital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Shares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Amount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Basis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Earnings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Income (Loss)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Equity</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Interests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Total</w:t>
            </w:r>
          </w:p>
        </w:tc>
        <w:tc>
          <w:tcPr>
            <w:tcW w:w="80" w:type="dxa"/>
            <w:tcBorders/>
            <w:shd w:fill="FFFFFF" w:val="clear"/>
            <w:vAlign w:val="center"/>
          </w:tcPr>
          <w:p>
            <w:pPr>
              <w:pStyle w:val="TableContents"/>
              <w:bidi w:val="0"/>
              <w:spacing w:before="0" w:after="283"/>
              <w:jc w:val="left"/>
              <w:rPr/>
            </w:pPr>
            <w:r>
              <w:rPr/>
              <w:t> </w:t>
            </w:r>
          </w:p>
        </w:tc>
      </w:tr>
      <w:tr>
        <w:trPr/>
        <w:tc>
          <w:tcPr>
            <w:tcW w:w="10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at April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74,035,516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1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1,145,990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(14,953,986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(1,303,086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(202,116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2,888,136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4"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1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(60,440</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2,469,224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3"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6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2,473,025</w:t>
            </w:r>
          </w:p>
        </w:tc>
        <w:tc>
          <w:tcPr>
            <w:tcW w:w="80" w:type="dxa"/>
            <w:tcBorders/>
            <w:shd w:fill="CCEEFF" w:val="clear"/>
            <w:vAlign w:val="center"/>
          </w:tcPr>
          <w:p>
            <w:pPr>
              <w:pStyle w:val="TableContents"/>
              <w:bidi w:val="0"/>
              <w:spacing w:before="0" w:after="283"/>
              <w:jc w:val="left"/>
              <w:rPr/>
            </w:pPr>
            <w:r>
              <w:rPr/>
              <w:t> </w:t>
            </w:r>
          </w:p>
        </w:tc>
      </w:tr>
      <w:tr>
        <w:trPr/>
        <w:tc>
          <w:tcPr>
            <w:tcW w:w="10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Unrealized loss on interest rate swaps, net of tax of $1,016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(3,090</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(3,090</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(3,090</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91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66,635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66,635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ind w:left="0" w:right="0" w:hanging="0"/>
              <w:jc w:val="left"/>
              <w:rPr/>
            </w:pPr>
            <w:r>
              <w:rPr/>
              <w:t> </w:t>
            </w:r>
          </w:p>
        </w:tc>
        <w:tc>
          <w:tcPr>
            <w:tcW w:w="86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67,088</w:t>
            </w:r>
          </w:p>
        </w:tc>
        <w:tc>
          <w:tcPr>
            <w:tcW w:w="80" w:type="dxa"/>
            <w:tcBorders/>
            <w:shd w:fill="CCEEFF" w:val="clear"/>
            <w:vAlign w:val="center"/>
          </w:tcPr>
          <w:p>
            <w:pPr>
              <w:pStyle w:val="TableContents"/>
              <w:bidi w:val="0"/>
              <w:spacing w:before="0" w:after="283"/>
              <w:jc w:val="left"/>
              <w:rPr/>
            </w:pPr>
            <w:r>
              <w:rPr/>
              <w:t> </w:t>
            </w:r>
          </w:p>
        </w:tc>
      </w:tr>
      <w:tr>
        <w:trPr/>
        <w:tc>
          <w:tcPr>
            <w:tcW w:w="10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Common stock issued under equity incentive plans, net of forfeitures and shares withheld for employee taxes and strike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(11,766</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41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411</w:t>
            </w:r>
          </w:p>
        </w:tc>
        <w:tc>
          <w:tcPr>
            <w:tcW w:w="80" w:type="dxa"/>
            <w:tcBorders/>
            <w:shd w:fill="FFFFFF" w:val="clear"/>
            <w:vAlign w:val="center"/>
          </w:tcPr>
          <w:p>
            <w:pPr>
              <w:pStyle w:val="TableContents"/>
              <w:bidi w:val="0"/>
              <w:spacing w:before="0" w:after="283"/>
              <w:jc w:val="left"/>
              <w:rPr/>
            </w:pPr>
            <w:r>
              <w:rPr/>
              <w:t> </w:t>
            </w:r>
          </w:p>
        </w:tc>
      </w:tr>
      <w:tr>
        <w:trPr/>
        <w:tc>
          <w:tcPr>
            <w:tcW w:w="10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share settlement of restricted stock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(5,369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(669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(669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(669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 repurchases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(392,521</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(50,463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(50,463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(50,463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14,752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14,752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14,752</w:t>
            </w:r>
          </w:p>
        </w:tc>
        <w:tc>
          <w:tcPr>
            <w:tcW w:w="80" w:type="dxa"/>
            <w:tcBorders/>
            <w:shd w:fill="CCEEFF" w:val="clear"/>
            <w:vAlign w:val="center"/>
          </w:tcPr>
          <w:p>
            <w:pPr>
              <w:pStyle w:val="TableContents"/>
              <w:bidi w:val="0"/>
              <w:spacing w:before="0" w:after="283"/>
              <w:jc w:val="left"/>
              <w:rPr/>
            </w:pPr>
            <w:r>
              <w:rPr/>
              <w:t> </w:t>
            </w:r>
          </w:p>
        </w:tc>
      </w:tr>
      <w:tr>
        <w:trPr/>
        <w:tc>
          <w:tcPr>
            <w:tcW w:w="10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dividends paid to noncontrolling interest of subsidiary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(293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(293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(293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74,016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74,016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ind w:left="0" w:right="0" w:hanging="0"/>
              <w:jc w:val="left"/>
              <w:rPr/>
            </w:pPr>
            <w:r>
              <w:rPr/>
              <w:t> </w:t>
            </w:r>
          </w:p>
        </w:tc>
        <w:tc>
          <w:tcPr>
            <w:tcW w:w="86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74,430</w:t>
            </w:r>
          </w:p>
        </w:tc>
        <w:tc>
          <w:tcPr>
            <w:tcW w:w="80" w:type="dxa"/>
            <w:tcBorders/>
            <w:shd w:fill="CCEEFF" w:val="clear"/>
            <w:vAlign w:val="center"/>
          </w:tcPr>
          <w:p>
            <w:pPr>
              <w:pStyle w:val="TableContents"/>
              <w:bidi w:val="0"/>
              <w:spacing w:before="0" w:after="283"/>
              <w:jc w:val="left"/>
              <w:rPr/>
            </w:pPr>
            <w:r>
              <w:rPr/>
              <w:t> </w:t>
            </w:r>
          </w:p>
        </w:tc>
      </w:tr>
      <w:tr>
        <w:trPr/>
        <w:tc>
          <w:tcPr>
            <w:tcW w:w="1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41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1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2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6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10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at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74,023,750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1,161,153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(15,351,876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(1,354,218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(202,116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2,961,859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3,105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2,570,523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2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4,668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2,575,191</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2405" w:type="dxa"/>
        <w:jc w:val="left"/>
        <w:tblInd w:w="0" w:type="dxa"/>
        <w:tblLayout w:type="fixed"/>
        <w:tblCellMar>
          <w:top w:w="0" w:type="dxa"/>
          <w:left w:w="0" w:type="dxa"/>
          <w:bottom w:w="0" w:type="dxa"/>
          <w:right w:w="0" w:type="dxa"/>
        </w:tblCellMar>
      </w:tblPr>
      <w:tblGrid>
        <w:gridCol w:w="1115"/>
        <w:gridCol w:w="60"/>
        <w:gridCol w:w="60"/>
        <w:gridCol w:w="830"/>
        <w:gridCol w:w="60"/>
        <w:gridCol w:w="60"/>
        <w:gridCol w:w="158"/>
        <w:gridCol w:w="417"/>
        <w:gridCol w:w="60"/>
        <w:gridCol w:w="60"/>
        <w:gridCol w:w="110"/>
        <w:gridCol w:w="740"/>
        <w:gridCol w:w="80"/>
        <w:gridCol w:w="60"/>
        <w:gridCol w:w="60"/>
        <w:gridCol w:w="890"/>
        <w:gridCol w:w="80"/>
        <w:gridCol w:w="60"/>
        <w:gridCol w:w="110"/>
        <w:gridCol w:w="800"/>
        <w:gridCol w:w="80"/>
        <w:gridCol w:w="60"/>
        <w:gridCol w:w="180"/>
        <w:gridCol w:w="665"/>
        <w:gridCol w:w="80"/>
        <w:gridCol w:w="60"/>
        <w:gridCol w:w="110"/>
        <w:gridCol w:w="740"/>
        <w:gridCol w:w="60"/>
        <w:gridCol w:w="60"/>
        <w:gridCol w:w="174"/>
        <w:gridCol w:w="911"/>
        <w:gridCol w:w="80"/>
        <w:gridCol w:w="60"/>
        <w:gridCol w:w="119"/>
        <w:gridCol w:w="801"/>
        <w:gridCol w:w="80"/>
        <w:gridCol w:w="60"/>
        <w:gridCol w:w="200"/>
        <w:gridCol w:w="885"/>
        <w:gridCol w:w="80"/>
        <w:gridCol w:w="60"/>
        <w:gridCol w:w="110"/>
        <w:gridCol w:w="740"/>
        <w:gridCol w:w="80"/>
      </w:tblGrid>
      <w:tr>
        <w:trPr/>
        <w:tc>
          <w:tcPr>
            <w:tcW w:w="1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35" w:type="dxa"/>
            <w:gridSpan w:val="3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Generac Holdings Inc.</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1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Excess Purchase Price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1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Over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Total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1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Treasury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Predecessor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Retained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Stockholders'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Noncontrolling</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1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Shares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Capital</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Shares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Amount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Basis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Earnings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Income (Loss)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Equity</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Interest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Total</w:t>
            </w:r>
          </w:p>
        </w:tc>
        <w:tc>
          <w:tcPr>
            <w:tcW w:w="80" w:type="dxa"/>
            <w:tcBorders/>
            <w:shd w:fill="FFFFFF" w:val="clear"/>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at January 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74,050,753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41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1,187,419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(15,373,990</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(1,358,053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(202,116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3,003,557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1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0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2,632,422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8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5,882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2,638,304</w:t>
            </w:r>
          </w:p>
        </w:tc>
        <w:tc>
          <w:tcPr>
            <w:tcW w:w="80" w:type="dxa"/>
            <w:tcBorders/>
            <w:shd w:fill="CCEEFF" w:val="clear"/>
            <w:vAlign w:val="center"/>
          </w:tcPr>
          <w:p>
            <w:pPr>
              <w:pStyle w:val="TableContents"/>
              <w:bidi w:val="0"/>
              <w:spacing w:before="0" w:after="283"/>
              <w:jc w:val="left"/>
              <w:rPr/>
            </w:pPr>
            <w:r>
              <w:rPr/>
              <w:t> </w:t>
            </w:r>
          </w:p>
        </w:tc>
      </w:tr>
      <w:tr>
        <w:trPr/>
        <w:tc>
          <w:tcPr>
            <w:tcW w:w="11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Unrealized loss on interest rate swaps, net of tax benefit of $1,221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(3,708</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(3,708</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(3,708</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1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(14,723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(14,723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(14,570</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1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Common stock issued under equity incentive plans, net of forfeitures and shares withheld for employee taxes and strike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173,876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(4,808</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(8,417</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(4,807</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(4,807</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1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Payment of acquisition contingent consideration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3,917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3,917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3,917</w:t>
            </w:r>
          </w:p>
        </w:tc>
        <w:tc>
          <w:tcPr>
            <w:tcW w:w="80" w:type="dxa"/>
            <w:tcBorders/>
            <w:shd w:fill="CCEEFF" w:val="clear"/>
            <w:vAlign w:val="center"/>
          </w:tcPr>
          <w:p>
            <w:pPr>
              <w:pStyle w:val="TableContents"/>
              <w:bidi w:val="0"/>
              <w:spacing w:before="0" w:after="283"/>
              <w:jc w:val="left"/>
              <w:rPr/>
            </w:pPr>
            <w:r>
              <w:rPr/>
              <w:t> </w:t>
            </w:r>
          </w:p>
        </w:tc>
      </w:tr>
      <w:tr>
        <w:trPr/>
        <w:tc>
          <w:tcPr>
            <w:tcW w:w="11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share settlement of restricted stock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(93,904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(21,567</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(21,567</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(21,567</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1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Disposal of business with non-controlling interest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(2,640</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(2,640</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(6,030</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(8,670</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1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Treasury stock issued for business combination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247,321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44,785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44,785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44,785</w:t>
            </w:r>
          </w:p>
        </w:tc>
        <w:tc>
          <w:tcPr>
            <w:tcW w:w="80" w:type="dxa"/>
            <w:tcBorders/>
            <w:shd w:fill="FFFFFF" w:val="clear"/>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27,447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27,447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27,447</w:t>
            </w:r>
          </w:p>
        </w:tc>
        <w:tc>
          <w:tcPr>
            <w:tcW w:w="80" w:type="dxa"/>
            <w:tcBorders/>
            <w:shd w:fill="CCEEFF" w:val="clear"/>
            <w:vAlign w:val="center"/>
          </w:tcPr>
          <w:p>
            <w:pPr>
              <w:pStyle w:val="TableContents"/>
              <w:bidi w:val="0"/>
              <w:spacing w:before="0" w:after="283"/>
              <w:jc w:val="left"/>
              <w:rPr/>
            </w:pPr>
            <w:r>
              <w:rPr/>
              <w:t> </w:t>
            </w:r>
          </w:p>
        </w:tc>
      </w:tr>
      <w:tr>
        <w:trPr/>
        <w:tc>
          <w:tcPr>
            <w:tcW w:w="11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216,497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216,497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216,497</w:t>
            </w:r>
          </w:p>
        </w:tc>
        <w:tc>
          <w:tcPr>
            <w:tcW w:w="80" w:type="dxa"/>
            <w:tcBorders/>
            <w:shd w:fill="FFFFFF" w:val="clear"/>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41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7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1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0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111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at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74,234,629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1,211,335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(15,228,990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(1,334,835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(202,116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3,220,054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1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(17,557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2,877,623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2,877,628</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2325" w:type="dxa"/>
        <w:jc w:val="left"/>
        <w:tblInd w:w="0" w:type="dxa"/>
        <w:tblLayout w:type="fixed"/>
        <w:tblCellMar>
          <w:top w:w="0" w:type="dxa"/>
          <w:left w:w="0" w:type="dxa"/>
          <w:bottom w:w="0" w:type="dxa"/>
          <w:right w:w="0" w:type="dxa"/>
        </w:tblCellMar>
      </w:tblPr>
      <w:tblGrid>
        <w:gridCol w:w="1055"/>
        <w:gridCol w:w="60"/>
        <w:gridCol w:w="60"/>
        <w:gridCol w:w="830"/>
        <w:gridCol w:w="60"/>
        <w:gridCol w:w="60"/>
        <w:gridCol w:w="158"/>
        <w:gridCol w:w="417"/>
        <w:gridCol w:w="60"/>
        <w:gridCol w:w="60"/>
        <w:gridCol w:w="110"/>
        <w:gridCol w:w="740"/>
        <w:gridCol w:w="60"/>
        <w:gridCol w:w="60"/>
        <w:gridCol w:w="60"/>
        <w:gridCol w:w="890"/>
        <w:gridCol w:w="80"/>
        <w:gridCol w:w="60"/>
        <w:gridCol w:w="110"/>
        <w:gridCol w:w="800"/>
        <w:gridCol w:w="80"/>
        <w:gridCol w:w="60"/>
        <w:gridCol w:w="180"/>
        <w:gridCol w:w="665"/>
        <w:gridCol w:w="80"/>
        <w:gridCol w:w="60"/>
        <w:gridCol w:w="110"/>
        <w:gridCol w:w="740"/>
        <w:gridCol w:w="80"/>
        <w:gridCol w:w="60"/>
        <w:gridCol w:w="174"/>
        <w:gridCol w:w="911"/>
        <w:gridCol w:w="80"/>
        <w:gridCol w:w="60"/>
        <w:gridCol w:w="119"/>
        <w:gridCol w:w="801"/>
        <w:gridCol w:w="80"/>
        <w:gridCol w:w="60"/>
        <w:gridCol w:w="223"/>
        <w:gridCol w:w="862"/>
        <w:gridCol w:w="60"/>
        <w:gridCol w:w="60"/>
        <w:gridCol w:w="110"/>
        <w:gridCol w:w="740"/>
        <w:gridCol w:w="80"/>
      </w:tblGrid>
      <w:tr>
        <w:trPr/>
        <w:tc>
          <w:tcPr>
            <w:tcW w:w="1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35" w:type="dxa"/>
            <w:gridSpan w:val="3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Generac Holdings Inc.</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1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Excess Purchase Price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1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Additional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Over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Total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1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Treasury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Predecessor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Retained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Stockholders'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Noncontrolling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1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Shares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Capital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Shares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Amount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Basis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Earnings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Income (Loss)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Equity</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Interest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Total</w:t>
            </w:r>
          </w:p>
        </w:tc>
        <w:tc>
          <w:tcPr>
            <w:tcW w:w="80" w:type="dxa"/>
            <w:tcBorders/>
            <w:shd w:fill="FFFFFF" w:val="clear"/>
            <w:vAlign w:val="center"/>
          </w:tcPr>
          <w:p>
            <w:pPr>
              <w:pStyle w:val="TableContents"/>
              <w:bidi w:val="0"/>
              <w:spacing w:before="0" w:after="283"/>
              <w:jc w:val="left"/>
              <w:rPr/>
            </w:pPr>
            <w:r>
              <w:rPr/>
              <w:t> </w:t>
            </w:r>
          </w:p>
        </w:tc>
      </w:tr>
      <w:tr>
        <w:trPr/>
        <w:tc>
          <w:tcPr>
            <w:tcW w:w="10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at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73,785,631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1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1,133,756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(14,173,697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(1,196,997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(202,116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2,844,296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4"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1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(85,399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2,494,278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3"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6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2,497,443</w:t>
            </w:r>
          </w:p>
        </w:tc>
        <w:tc>
          <w:tcPr>
            <w:tcW w:w="80" w:type="dxa"/>
            <w:tcBorders/>
            <w:shd w:fill="CCEEFF" w:val="clear"/>
            <w:vAlign w:val="center"/>
          </w:tcPr>
          <w:p>
            <w:pPr>
              <w:pStyle w:val="TableContents"/>
              <w:bidi w:val="0"/>
              <w:spacing w:before="0" w:after="283"/>
              <w:jc w:val="left"/>
              <w:rPr/>
            </w:pPr>
            <w:r>
              <w:rPr/>
              <w:t> </w:t>
            </w:r>
          </w:p>
        </w:tc>
      </w:tr>
      <w:tr>
        <w:trPr/>
        <w:tc>
          <w:tcPr>
            <w:tcW w:w="10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Unrealized loss on interest rate swaps, net of tax of $2,435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(7,403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(7,403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(7,403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91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95,907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95,907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ind w:left="0" w:right="0" w:hanging="0"/>
              <w:jc w:val="left"/>
              <w:rPr/>
            </w:pPr>
            <w:r>
              <w:rPr/>
              <w:t> </w:t>
            </w:r>
          </w:p>
        </w:tc>
        <w:tc>
          <w:tcPr>
            <w:tcW w:w="86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96,558</w:t>
            </w:r>
          </w:p>
        </w:tc>
        <w:tc>
          <w:tcPr>
            <w:tcW w:w="80" w:type="dxa"/>
            <w:tcBorders/>
            <w:shd w:fill="CCEEFF" w:val="clear"/>
            <w:vAlign w:val="center"/>
          </w:tcPr>
          <w:p>
            <w:pPr>
              <w:pStyle w:val="TableContents"/>
              <w:bidi w:val="0"/>
              <w:spacing w:before="0" w:after="283"/>
              <w:jc w:val="left"/>
              <w:rPr/>
            </w:pPr>
            <w:r>
              <w:rPr/>
              <w:t> </w:t>
            </w:r>
          </w:p>
        </w:tc>
      </w:tr>
      <w:tr>
        <w:trPr/>
        <w:tc>
          <w:tcPr>
            <w:tcW w:w="10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Common stock issued under equity incentive plans, net of forfeitures and shares withheld for employee taxes and strike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238,119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417"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1,039</w:t>
            </w:r>
          </w:p>
        </w:tc>
        <w:tc>
          <w:tcPr>
            <w:tcW w:w="80" w:type="dxa"/>
            <w:tcBorders/>
            <w:shd w:fill="FFFFFF" w:val="clear"/>
            <w:vAlign w:val="center"/>
          </w:tcPr>
          <w:p>
            <w:pPr>
              <w:pStyle w:val="TableContents"/>
              <w:bidi w:val="0"/>
              <w:spacing w:before="0" w:after="283"/>
              <w:jc w:val="left"/>
              <w:rPr/>
            </w:pPr>
            <w:r>
              <w:rPr/>
              <w:t> </w:t>
            </w:r>
          </w:p>
        </w:tc>
      </w:tr>
      <w:tr>
        <w:trPr/>
        <w:tc>
          <w:tcPr>
            <w:tcW w:w="10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share settlement of restricted stock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(68,973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(9,304</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(9,304</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(9,304</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 repurchases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(1,109,206</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(147,917</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(147,917</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(147,917</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26,360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26,360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26,360</w:t>
            </w:r>
          </w:p>
        </w:tc>
        <w:tc>
          <w:tcPr>
            <w:tcW w:w="80" w:type="dxa"/>
            <w:tcBorders/>
            <w:shd w:fill="CCEEFF" w:val="clear"/>
            <w:vAlign w:val="center"/>
          </w:tcPr>
          <w:p>
            <w:pPr>
              <w:pStyle w:val="TableContents"/>
              <w:bidi w:val="0"/>
              <w:spacing w:before="0" w:after="283"/>
              <w:jc w:val="left"/>
              <w:rPr/>
            </w:pPr>
            <w:r>
              <w:rPr/>
              <w:t> </w:t>
            </w:r>
          </w:p>
        </w:tc>
      </w:tr>
      <w:tr>
        <w:trPr/>
        <w:tc>
          <w:tcPr>
            <w:tcW w:w="10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dividends paid to noncontrolling interest of subsidiary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(293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(293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(293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117,856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117,856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ind w:left="0" w:right="0" w:hanging="0"/>
              <w:jc w:val="left"/>
              <w:rPr/>
            </w:pPr>
            <w:r>
              <w:rPr/>
              <w:t> </w:t>
            </w:r>
          </w:p>
        </w:tc>
        <w:tc>
          <w:tcPr>
            <w:tcW w:w="86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118,708</w:t>
            </w:r>
          </w:p>
        </w:tc>
        <w:tc>
          <w:tcPr>
            <w:tcW w:w="80" w:type="dxa"/>
            <w:tcBorders/>
            <w:shd w:fill="CCEEFF" w:val="clear"/>
            <w:vAlign w:val="center"/>
          </w:tcPr>
          <w:p>
            <w:pPr>
              <w:pStyle w:val="TableContents"/>
              <w:bidi w:val="0"/>
              <w:spacing w:before="0" w:after="283"/>
              <w:jc w:val="left"/>
              <w:rPr/>
            </w:pPr>
            <w:r>
              <w:rPr/>
              <w:t> </w:t>
            </w:r>
          </w:p>
        </w:tc>
      </w:tr>
      <w:tr>
        <w:trPr/>
        <w:tc>
          <w:tcPr>
            <w:tcW w:w="1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41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1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2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6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10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at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74,023,750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1,161,153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(15,351,876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(1,354,218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(202,116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2,961,859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3,105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2,570,523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2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4,668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2,575,191</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See notes to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283"/>
        <w:jc w:val="left"/>
        <w:rPr/>
      </w:pPr>
      <w:r>
        <w:rPr/>
        <w:t> </w:t>
      </w:r>
    </w:p>
    <w:tbl>
      <w:tblPr>
        <w:tblW w:w="4910" w:type="dxa"/>
        <w:jc w:val="left"/>
        <w:tblInd w:w="0" w:type="dxa"/>
        <w:tblLayout w:type="fixed"/>
        <w:tblCellMar>
          <w:top w:w="0" w:type="dxa"/>
          <w:left w:w="0" w:type="dxa"/>
          <w:bottom w:w="0" w:type="dxa"/>
          <w:right w:w="0" w:type="dxa"/>
        </w:tblCellMar>
      </w:tblPr>
      <w:tblGrid>
        <w:gridCol w:w="4910"/>
      </w:tblGrid>
      <w:tr>
        <w:trPr/>
        <w:tc>
          <w:tcPr>
            <w:tcW w:w="4910" w:type="dxa"/>
            <w:tcBorders/>
            <w:vAlign w:val="center"/>
          </w:tcPr>
          <w:p>
            <w:pPr>
              <w:pStyle w:val="TableContents"/>
              <w:bidi w:val="0"/>
              <w:spacing w:before="0" w:after="0"/>
              <w:ind w:left="0" w:right="0" w:hanging="0"/>
              <w:jc w:val="center"/>
              <w:rPr>
                <w:rFonts w:ascii="Times New Roman;Times;serif" w:hAnsi="Times New Roman;Times;serif"/>
                <w:sz w:val="24"/>
              </w:rPr>
            </w:pPr>
            <w:bookmarkStart w:id="6" w:name="cf"/>
            <w:bookmarkEnd w:id="6"/>
            <w:r>
              <w:rPr>
                <w:rFonts w:ascii="Times New Roman;Times;serif" w:hAnsi="Times New Roman;Times;serif"/>
                <w:sz w:val="24"/>
              </w:rPr>
              <w:t>Generac Holdings Inc.</w:t>
            </w:r>
          </w:p>
        </w:tc>
      </w:tr>
      <w:tr>
        <w:trPr/>
        <w:tc>
          <w:tcPr>
            <w:tcW w:w="4910"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Condensed Consolidated Statements of Cash Flows</w:t>
            </w:r>
          </w:p>
        </w:tc>
      </w:tr>
      <w:tr>
        <w:trPr/>
        <w:tc>
          <w:tcPr>
            <w:tcW w:w="4910"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(U.S. Dollars in Thousands)</w:t>
            </w:r>
          </w:p>
        </w:tc>
      </w:tr>
      <w:tr>
        <w:trPr/>
        <w:tc>
          <w:tcPr>
            <w:tcW w:w="491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tc>
      </w:tr>
    </w:tbl>
    <w:p>
      <w:pPr>
        <w:pStyle w:val="TextBody"/>
        <w:bidi w:val="0"/>
        <w:spacing w:before="0" w:after="0"/>
        <w:ind w:left="0" w:right="0" w:hanging="0"/>
        <w:jc w:val="left"/>
        <w:rPr/>
      </w:pPr>
      <w:r>
        <w:rPr/>
        <w:t> </w:t>
      </w:r>
    </w:p>
    <w:tbl>
      <w:tblPr>
        <w:tblW w:w="9056" w:type="dxa"/>
        <w:jc w:val="left"/>
        <w:tblInd w:w="0" w:type="dxa"/>
        <w:tblLayout w:type="fixed"/>
        <w:tblCellMar>
          <w:top w:w="0" w:type="dxa"/>
          <w:left w:w="0" w:type="dxa"/>
          <w:bottom w:w="0" w:type="dxa"/>
          <w:right w:w="0" w:type="dxa"/>
        </w:tblCellMar>
      </w:tblPr>
      <w:tblGrid>
        <w:gridCol w:w="6620"/>
        <w:gridCol w:w="60"/>
        <w:gridCol w:w="151"/>
        <w:gridCol w:w="913"/>
        <w:gridCol w:w="96"/>
        <w:gridCol w:w="72"/>
        <w:gridCol w:w="151"/>
        <w:gridCol w:w="913"/>
        <w:gridCol w:w="80"/>
      </w:tblGrid>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10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income</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1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216,122</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1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118,708</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Adjustments to reconcile net income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Depreciation and finance lease amortization</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53,189</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43,292</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61,195</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51,170</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Amortization of deferred financing costs and original issue discount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1,081</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1,278</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Change in fair value of investments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(4,542</w:t>
            </w:r>
          </w:p>
        </w:tc>
        <w:tc>
          <w:tcPr>
            <w:tcW w:w="9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11,471</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Deferred income tax expense (benefit)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26,447</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(18,668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Share-based compensation expense</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27,447</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26,360</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Loss on disposal of assets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211</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602</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Loss attributable to business dispositions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18,238</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3,905</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Other noncash charges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2,159</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1,513</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Excess tax benefits from equity awards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(3,447</w:t>
            </w:r>
          </w:p>
        </w:tc>
        <w:tc>
          <w:tcPr>
            <w:tcW w:w="9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90</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Net 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180" w:right="0" w:firstLine="180"/>
              <w:jc w:val="left"/>
              <w:rPr>
                <w:rFonts w:ascii="Times New Roman" w:hAnsi="Times New Roman"/>
                <w:sz w:val="20"/>
              </w:rPr>
            </w:pPr>
            <w:r>
              <w:rPr>
                <w:rFonts w:ascii="Times New Roman" w:hAnsi="Times New Roman"/>
                <w:sz w:val="20"/>
              </w:rPr>
              <w:t>Accounts receivable</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(64,430</w:t>
            </w:r>
          </w:p>
        </w:tc>
        <w:tc>
          <w:tcPr>
            <w:tcW w:w="9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(485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bidi w:val="0"/>
              <w:spacing w:before="0" w:after="0"/>
              <w:ind w:left="180" w:right="0" w:firstLine="180"/>
              <w:jc w:val="left"/>
              <w:rPr>
                <w:rFonts w:ascii="Times New Roman" w:hAnsi="Times New Roman"/>
                <w:sz w:val="20"/>
              </w:rPr>
            </w:pPr>
            <w:r>
              <w:rPr>
                <w:rFonts w:ascii="Times New Roman" w:hAnsi="Times New Roman"/>
                <w:sz w:val="20"/>
              </w:rPr>
              <w:t>Inventories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14,869</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(199,279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ind w:left="180" w:right="0" w:firstLine="180"/>
              <w:jc w:val="left"/>
              <w:rPr>
                <w:rFonts w:ascii="Times New Roman" w:hAnsi="Times New Roman"/>
                <w:sz w:val="20"/>
              </w:rPr>
            </w:pPr>
            <w:r>
              <w:rPr>
                <w:rFonts w:ascii="Times New Roman" w:hAnsi="Times New Roman"/>
                <w:sz w:val="20"/>
              </w:rPr>
              <w:t>Other assets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(105,336</w:t>
            </w:r>
          </w:p>
        </w:tc>
        <w:tc>
          <w:tcPr>
            <w:tcW w:w="9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7,990</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180" w:right="0" w:firstLine="180"/>
              <w:jc w:val="left"/>
              <w:rPr>
                <w:rFonts w:ascii="Times New Roman" w:hAnsi="Times New Roman"/>
                <w:sz w:val="20"/>
              </w:rPr>
            </w:pPr>
            <w:r>
              <w:rPr>
                <w:rFonts w:ascii="Times New Roman" w:hAnsi="Times New Roman"/>
                <w:sz w:val="20"/>
              </w:rPr>
              <w:t>Accounts payable</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116,387</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129,489</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180" w:right="0" w:firstLine="180"/>
              <w:jc w:val="left"/>
              <w:rPr>
                <w:rFonts w:ascii="Times New Roman" w:hAnsi="Times New Roman"/>
                <w:sz w:val="20"/>
              </w:rPr>
            </w:pPr>
            <w:r>
              <w:rPr>
                <w:rFonts w:ascii="Times New Roman" w:hAnsi="Times New Roman"/>
                <w:sz w:val="20"/>
              </w:rPr>
              <w:t>Accrued wages and employee benefits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(8,098</w:t>
            </w:r>
          </w:p>
        </w:tc>
        <w:tc>
          <w:tcPr>
            <w:tcW w:w="9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(28,297</w:t>
            </w:r>
          </w:p>
        </w:tc>
        <w:tc>
          <w:tcPr>
            <w:tcW w:w="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accrued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1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(110,996</w:t>
            </w:r>
          </w:p>
        </w:tc>
        <w:tc>
          <w:tcPr>
            <w:tcW w:w="9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2" w:type="dxa"/>
            <w:tcBorders/>
            <w:shd w:fill="FFFFFF" w:val="clear"/>
            <w:vAlign w:val="center"/>
          </w:tcPr>
          <w:p>
            <w:pPr>
              <w:pStyle w:val="TableContents"/>
              <w:bidi w:val="0"/>
              <w:spacing w:before="0" w:after="0"/>
              <w:ind w:left="0" w:right="0" w:hanging="0"/>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1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(18,798</w:t>
            </w:r>
          </w:p>
        </w:tc>
        <w:tc>
          <w:tcPr>
            <w:tcW w:w="80"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9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240,496</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9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130,341</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Proceeds from sale of property and equipment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Purchase of long-term investments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(2,656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Expenditures for property and equipment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(87,687</w:t>
            </w:r>
          </w:p>
        </w:tc>
        <w:tc>
          <w:tcPr>
            <w:tcW w:w="9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(88,653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Acquisition of businesses, net of cash acquired</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(211,820</w:t>
            </w:r>
          </w:p>
        </w:tc>
        <w:tc>
          <w:tcPr>
            <w:tcW w:w="9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Proceeds (payments) from sale of businesses, net of cash disposed</w:t>
            </w:r>
          </w:p>
        </w:tc>
        <w:tc>
          <w:tcPr>
            <w:tcW w:w="60" w:type="dxa"/>
            <w:tcBorders/>
            <w:shd w:fill="FFFFFF" w:val="clear"/>
            <w:vAlign w:val="center"/>
          </w:tcPr>
          <w:p>
            <w:pPr>
              <w:pStyle w:val="TableContents"/>
              <w:bidi w:val="0"/>
              <w:spacing w:before="0" w:after="0"/>
              <w:ind w:left="0" w:right="0" w:hanging="0"/>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1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23,654</w:t>
            </w:r>
          </w:p>
        </w:tc>
        <w:tc>
          <w:tcPr>
            <w:tcW w:w="96" w:type="dxa"/>
            <w:tcBorders/>
            <w:shd w:fill="FFFFFF" w:val="clear"/>
            <w:vAlign w:val="center"/>
          </w:tcPr>
          <w:p>
            <w:pPr>
              <w:pStyle w:val="TableContents"/>
              <w:bidi w:val="0"/>
              <w:spacing w:before="0" w:after="0"/>
              <w:ind w:left="0" w:right="0" w:hanging="0"/>
              <w:jc w:val="left"/>
              <w:rPr/>
            </w:pPr>
            <w:r>
              <w:rPr/>
              <w:t> </w:t>
            </w:r>
          </w:p>
        </w:tc>
        <w:tc>
          <w:tcPr>
            <w:tcW w:w="72" w:type="dxa"/>
            <w:tcBorders/>
            <w:shd w:fill="FFFFFF" w:val="clear"/>
            <w:vAlign w:val="center"/>
          </w:tcPr>
          <w:p>
            <w:pPr>
              <w:pStyle w:val="TableContents"/>
              <w:bidi w:val="0"/>
              <w:spacing w:before="0" w:after="0"/>
              <w:ind w:left="0" w:right="0" w:hanging="0"/>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1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(1,999</w:t>
            </w:r>
          </w:p>
        </w:tc>
        <w:tc>
          <w:tcPr>
            <w:tcW w:w="8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9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(275,843</w:t>
            </w:r>
          </w:p>
        </w:tc>
        <w:tc>
          <w:tcPr>
            <w:tcW w:w="9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9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(93,308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Financing activities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Proceeds from short-term borrowings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22,736</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21,860</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Proceeds from long-term borrowings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82,538</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92,585</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Repayments of short-term borrowings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(25,571</w:t>
            </w:r>
          </w:p>
        </w:tc>
        <w:tc>
          <w:tcPr>
            <w:tcW w:w="9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(30,171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Repayments of long-term borrowings and finance lease obligations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(93,096</w:t>
            </w:r>
          </w:p>
        </w:tc>
        <w:tc>
          <w:tcPr>
            <w:tcW w:w="9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(29,032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Stock repurchases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(147,917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Payment of deferred acquisition consideration</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(958</w:t>
            </w:r>
          </w:p>
        </w:tc>
        <w:tc>
          <w:tcPr>
            <w:tcW w:w="9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dividends paid to noncontrolling interest of subsidiary</w:t>
            </w:r>
          </w:p>
        </w:tc>
        <w:tc>
          <w:tcPr>
            <w:tcW w:w="60" w:type="dxa"/>
            <w:tcBorders/>
            <w:shd w:fill="FFFFFF" w:val="clear"/>
            <w:vAlign w:val="center"/>
          </w:tcPr>
          <w:p>
            <w:pPr>
              <w:pStyle w:val="TableContents"/>
              <w:bidi w:val="0"/>
              <w:spacing w:before="0" w:after="0"/>
              <w:ind w:left="0" w:right="0" w:hanging="0"/>
              <w:jc w:val="left"/>
              <w:rPr/>
            </w:pPr>
            <w:r>
              <w:rPr/>
              <w:t> </w:t>
            </w:r>
          </w:p>
        </w:tc>
        <w:tc>
          <w:tcPr>
            <w:tcW w:w="151" w:type="dxa"/>
            <w:tcBorders/>
            <w:shd w:fill="FFFFFF" w:val="clear"/>
            <w:vAlign w:val="center"/>
          </w:tcPr>
          <w:p>
            <w:pPr>
              <w:pStyle w:val="TableContents"/>
              <w:bidi w:val="0"/>
              <w:spacing w:before="0" w:after="0"/>
              <w:ind w:left="0" w:right="0" w:hanging="0"/>
              <w:jc w:val="left"/>
              <w:rPr/>
            </w:pPr>
            <w:r>
              <w:rPr/>
              <w:t> </w:t>
            </w:r>
          </w:p>
        </w:tc>
        <w:tc>
          <w:tcPr>
            <w:tcW w:w="91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96" w:type="dxa"/>
            <w:tcBorders/>
            <w:shd w:fill="FFFFFF" w:val="clear"/>
            <w:vAlign w:val="center"/>
          </w:tcPr>
          <w:p>
            <w:pPr>
              <w:pStyle w:val="TableContents"/>
              <w:bidi w:val="0"/>
              <w:spacing w:before="0" w:after="0"/>
              <w:ind w:left="0" w:right="0" w:hanging="0"/>
              <w:jc w:val="left"/>
              <w:rPr/>
            </w:pPr>
            <w:r>
              <w:rPr/>
              <w:t> </w:t>
            </w:r>
          </w:p>
        </w:tc>
        <w:tc>
          <w:tcPr>
            <w:tcW w:w="72" w:type="dxa"/>
            <w:tcBorders/>
            <w:shd w:fill="FFFFFF" w:val="clear"/>
            <w:vAlign w:val="center"/>
          </w:tcPr>
          <w:p>
            <w:pPr>
              <w:pStyle w:val="TableContents"/>
              <w:bidi w:val="0"/>
              <w:spacing w:before="0" w:after="0"/>
              <w:ind w:left="0" w:right="0" w:hanging="0"/>
              <w:jc w:val="left"/>
              <w:rPr/>
            </w:pPr>
            <w:r>
              <w:rPr/>
              <w:t> </w:t>
            </w:r>
          </w:p>
        </w:tc>
        <w:tc>
          <w:tcPr>
            <w:tcW w:w="151" w:type="dxa"/>
            <w:tcBorders/>
            <w:shd w:fill="FFFFFF" w:val="clear"/>
            <w:vAlign w:val="center"/>
          </w:tcPr>
          <w:p>
            <w:pPr>
              <w:pStyle w:val="TableContents"/>
              <w:bidi w:val="0"/>
              <w:spacing w:before="0" w:after="0"/>
              <w:ind w:left="0" w:right="0" w:hanging="0"/>
              <w:jc w:val="left"/>
              <w:rPr/>
            </w:pPr>
            <w:r>
              <w:rPr/>
              <w:t> </w:t>
            </w:r>
          </w:p>
        </w:tc>
        <w:tc>
          <w:tcPr>
            <w:tcW w:w="91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(293</w:t>
            </w:r>
          </w:p>
        </w:tc>
        <w:tc>
          <w:tcPr>
            <w:tcW w:w="8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Taxes paid related to equity awards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(36,702</w:t>
            </w:r>
          </w:p>
        </w:tc>
        <w:tc>
          <w:tcPr>
            <w:tcW w:w="9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(9,393</w:t>
            </w:r>
          </w:p>
        </w:tc>
        <w:tc>
          <w:tcPr>
            <w:tcW w:w="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Proceeds from the exercise of stock options</w:t>
            </w:r>
          </w:p>
        </w:tc>
        <w:tc>
          <w:tcPr>
            <w:tcW w:w="60" w:type="dxa"/>
            <w:tcBorders/>
            <w:shd w:fill="FFFFFF" w:val="clear"/>
            <w:vAlign w:val="center"/>
          </w:tcPr>
          <w:p>
            <w:pPr>
              <w:pStyle w:val="TableContents"/>
              <w:bidi w:val="0"/>
              <w:spacing w:before="0" w:after="0"/>
              <w:ind w:left="0" w:right="0" w:hanging="0"/>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1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10,275</w:t>
            </w:r>
          </w:p>
        </w:tc>
        <w:tc>
          <w:tcPr>
            <w:tcW w:w="96" w:type="dxa"/>
            <w:tcBorders/>
            <w:shd w:fill="FFFFFF" w:val="clear"/>
            <w:vAlign w:val="center"/>
          </w:tcPr>
          <w:p>
            <w:pPr>
              <w:pStyle w:val="TableContents"/>
              <w:bidi w:val="0"/>
              <w:spacing w:before="0" w:after="0"/>
              <w:ind w:left="0" w:right="0" w:hanging="0"/>
              <w:jc w:val="left"/>
              <w:rPr/>
            </w:pPr>
            <w:r>
              <w:rPr/>
              <w:t> </w:t>
            </w:r>
          </w:p>
        </w:tc>
        <w:tc>
          <w:tcPr>
            <w:tcW w:w="72" w:type="dxa"/>
            <w:tcBorders/>
            <w:shd w:fill="FFFFFF" w:val="clear"/>
            <w:vAlign w:val="center"/>
          </w:tcPr>
          <w:p>
            <w:pPr>
              <w:pStyle w:val="TableContents"/>
              <w:bidi w:val="0"/>
              <w:spacing w:before="0" w:after="0"/>
              <w:ind w:left="0" w:right="0" w:hanging="0"/>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1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1,043</w:t>
            </w:r>
          </w:p>
        </w:tc>
        <w:tc>
          <w:tcPr>
            <w:tcW w:w="80" w:type="dxa"/>
            <w:tcBorders/>
            <w:shd w:fill="FFFFFF" w:val="clear"/>
            <w:vAlign w:val="center"/>
          </w:tcPr>
          <w:p>
            <w:pPr>
              <w:pStyle w:val="TableContents"/>
              <w:bidi w:val="0"/>
              <w:spacing w:before="0" w:after="0"/>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9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(40,778</w:t>
            </w:r>
          </w:p>
        </w:tc>
        <w:tc>
          <w:tcPr>
            <w:tcW w:w="9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9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(101,318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Effect of foreign exchange rate changes on cash and cash equivalents</w:t>
            </w:r>
          </w:p>
        </w:tc>
        <w:tc>
          <w:tcPr>
            <w:tcW w:w="60" w:type="dxa"/>
            <w:tcBorders/>
            <w:shd w:fill="CCEEFF" w:val="clear"/>
            <w:vAlign w:val="center"/>
          </w:tcPr>
          <w:p>
            <w:pPr>
              <w:pStyle w:val="TableContents"/>
              <w:bidi w:val="0"/>
              <w:spacing w:before="0" w:after="0"/>
              <w:ind w:left="0" w:right="0" w:hanging="0"/>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(367</w:t>
            </w:r>
          </w:p>
        </w:tc>
        <w:tc>
          <w:tcPr>
            <w:tcW w:w="9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2" w:type="dxa"/>
            <w:tcBorders/>
            <w:shd w:fill="CCEEFF" w:val="clear"/>
            <w:vAlign w:val="center"/>
          </w:tcPr>
          <w:p>
            <w:pPr>
              <w:pStyle w:val="TableContents"/>
              <w:bidi w:val="0"/>
              <w:spacing w:before="0" w:after="0"/>
              <w:ind w:left="0" w:right="0" w:hanging="0"/>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6,539</w:t>
            </w:r>
          </w:p>
        </w:tc>
        <w:tc>
          <w:tcPr>
            <w:tcW w:w="80" w:type="dxa"/>
            <w:tcBorders/>
            <w:shd w:fill="CCEEFF" w:val="clear"/>
            <w:vAlign w:val="center"/>
          </w:tcPr>
          <w:p>
            <w:pPr>
              <w:pStyle w:val="TableContents"/>
              <w:bidi w:val="0"/>
              <w:spacing w:before="0" w:after="0"/>
              <w:jc w:val="left"/>
              <w:rPr/>
            </w:pPr>
            <w:r>
              <w:rPr/>
              <w:t> </w:t>
            </w:r>
          </w:p>
        </w:tc>
      </w:tr>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9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(76,492</w:t>
            </w:r>
          </w:p>
        </w:tc>
        <w:tc>
          <w:tcPr>
            <w:tcW w:w="9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9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(57,746</w:t>
            </w:r>
          </w:p>
        </w:tc>
        <w:tc>
          <w:tcPr>
            <w:tcW w:w="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and cash equivalents at beginning of period</w:t>
            </w:r>
          </w:p>
        </w:tc>
        <w:tc>
          <w:tcPr>
            <w:tcW w:w="60" w:type="dxa"/>
            <w:tcBorders/>
            <w:shd w:fill="FFFFFF" w:val="clear"/>
            <w:vAlign w:val="center"/>
          </w:tcPr>
          <w:p>
            <w:pPr>
              <w:pStyle w:val="TableContents"/>
              <w:bidi w:val="0"/>
              <w:spacing w:before="0" w:after="0"/>
              <w:ind w:left="0" w:right="0" w:hanging="0"/>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1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341,413</w:t>
            </w:r>
          </w:p>
        </w:tc>
        <w:tc>
          <w:tcPr>
            <w:tcW w:w="96" w:type="dxa"/>
            <w:tcBorders/>
            <w:shd w:fill="FFFFFF" w:val="clear"/>
            <w:vAlign w:val="center"/>
          </w:tcPr>
          <w:p>
            <w:pPr>
              <w:pStyle w:val="TableContents"/>
              <w:bidi w:val="0"/>
              <w:spacing w:before="0" w:after="0"/>
              <w:ind w:left="0" w:right="0" w:hanging="0"/>
              <w:jc w:val="left"/>
              <w:rPr/>
            </w:pPr>
            <w:r>
              <w:rPr/>
              <w:t> </w:t>
            </w:r>
          </w:p>
        </w:tc>
        <w:tc>
          <w:tcPr>
            <w:tcW w:w="72" w:type="dxa"/>
            <w:tcBorders/>
            <w:shd w:fill="FFFFFF" w:val="clear"/>
            <w:vAlign w:val="center"/>
          </w:tcPr>
          <w:p>
            <w:pPr>
              <w:pStyle w:val="TableContents"/>
              <w:bidi w:val="0"/>
              <w:spacing w:before="0" w:after="0"/>
              <w:ind w:left="0" w:right="0" w:hanging="0"/>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1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281,277</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and cash equivalents at end of period</w:t>
            </w:r>
          </w:p>
        </w:tc>
        <w:tc>
          <w:tcPr>
            <w:tcW w:w="60" w:type="dxa"/>
            <w:tcBorders/>
            <w:shd w:fill="CCEEFF" w:val="clear"/>
            <w:vAlign w:val="center"/>
          </w:tcPr>
          <w:p>
            <w:pPr>
              <w:pStyle w:val="TableContents"/>
              <w:bidi w:val="0"/>
              <w:spacing w:before="0" w:after="0"/>
              <w:ind w:left="0" w:right="0" w:hanging="0"/>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264,921</w:t>
            </w:r>
          </w:p>
        </w:tc>
        <w:tc>
          <w:tcPr>
            <w:tcW w:w="96" w:type="dxa"/>
            <w:tcBorders/>
            <w:shd w:fill="CCEEFF" w:val="clear"/>
            <w:vAlign w:val="center"/>
          </w:tcPr>
          <w:p>
            <w:pPr>
              <w:pStyle w:val="TableContents"/>
              <w:bidi w:val="0"/>
              <w:spacing w:before="0" w:after="0"/>
              <w:ind w:left="0" w:right="0" w:hanging="0"/>
              <w:jc w:val="left"/>
              <w:rPr/>
            </w:pPr>
            <w:r>
              <w:rPr/>
              <w:t> </w:t>
            </w:r>
          </w:p>
        </w:tc>
        <w:tc>
          <w:tcPr>
            <w:tcW w:w="72" w:type="dxa"/>
            <w:tcBorders/>
            <w:shd w:fill="CCEEFF" w:val="clear"/>
            <w:vAlign w:val="center"/>
          </w:tcPr>
          <w:p>
            <w:pPr>
              <w:pStyle w:val="TableContents"/>
              <w:bidi w:val="0"/>
              <w:spacing w:before="0" w:after="0"/>
              <w:ind w:left="0" w:right="0" w:hanging="0"/>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223,531</w:t>
            </w:r>
          </w:p>
        </w:tc>
        <w:tc>
          <w:tcPr>
            <w:tcW w:w="80" w:type="dxa"/>
            <w:tcBorders/>
            <w:shd w:fill="CCEEFF" w:val="clear"/>
            <w:vAlign w:val="center"/>
          </w:tcPr>
          <w:p>
            <w:pPr>
              <w:pStyle w:val="TableContents"/>
              <w:bidi w:val="0"/>
              <w:spacing w:before="0" w:after="0"/>
              <w:jc w:val="left"/>
              <w:rPr/>
            </w:pPr>
            <w:r>
              <w:rPr/>
              <w:t> </w:t>
            </w:r>
          </w:p>
        </w:tc>
      </w:tr>
    </w:tbl>
    <w:p>
      <w:pPr>
        <w:pStyle w:val="TextBody"/>
        <w:bidi w:val="0"/>
        <w:spacing w:before="0" w:after="283"/>
        <w:jc w:val="left"/>
        <w:rPr/>
      </w:pPr>
      <w:r>
        <w:rPr/>
        <w:t> </w:t>
      </w:r>
    </w:p>
    <w:tbl>
      <w:tblPr>
        <w:tblW w:w="4760" w:type="dxa"/>
        <w:jc w:val="left"/>
        <w:tblInd w:w="0" w:type="dxa"/>
        <w:tblLayout w:type="fixed"/>
        <w:tblCellMar>
          <w:top w:w="0" w:type="dxa"/>
          <w:left w:w="0" w:type="dxa"/>
          <w:bottom w:w="0" w:type="dxa"/>
          <w:right w:w="0" w:type="dxa"/>
        </w:tblCellMar>
      </w:tblPr>
      <w:tblGrid>
        <w:gridCol w:w="4760"/>
      </w:tblGrid>
      <w:tr>
        <w:trPr/>
        <w:tc>
          <w:tcPr>
            <w:tcW w:w="4760"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See notes to condensed consolidated financial statements.</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7" w:name="notes"/>
      <w:bookmarkEnd w:id="7"/>
      <w:r>
        <w:rPr>
          <w:rFonts w:ascii="Times New Roman;Times;serif" w:hAnsi="Times New Roman;Times;serif"/>
          <w:b/>
          <w:sz w:val="20"/>
        </w:rPr>
        <w:t>Generac Holdings Inc.</w:t>
        <w:br/>
        <w:t>Notes to Condensed Consolidated Financial Statements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(U.S. Dollars in Thousands, Except Share and Per Share Data)</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1.</w:t>
      </w:r>
      <w:r>
        <w:rPr>
          <w:rFonts w:ascii="Times New Roman;Times;serif" w:hAnsi="Times New Roman;Times;serif"/>
          <w:b/>
          <w:sz w:val="20"/>
        </w:rPr>
        <w:t xml:space="preserve">   Description of Business and Basis of Presentation</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Founded in </w:t>
      </w:r>
      <w:r>
        <w:rPr>
          <w:rStyle w:val="Emphasis"/>
          <w:rFonts w:ascii="Times New Roman;Times;serif" w:hAnsi="Times New Roman;Times;serif"/>
          <w:sz w:val="20"/>
        </w:rPr>
        <w:t>1959,</w:t>
      </w:r>
      <w:r>
        <w:rPr>
          <w:rFonts w:ascii="Times New Roman;Times;serif" w:hAnsi="Times New Roman;Times;serif"/>
          <w:sz w:val="20"/>
        </w:rPr>
        <w:t xml:space="preserve"> Generac Holdings Inc. (the Company) is a leading global designer and manufacturer of a wide range of energy technology solutions. The Company provides power generation equipment, energy storage systems, energy management devices &amp; solutions, and other power products and services serving the residential, commercial, data center, telecom, rental, and industrial markets. Generac’s power products and solutions are available globally through a broad network of independent dealers, distributors, retailers, e-commerce partners, wholesalers, and equipment rental companies, as well as sold direct to certain end user customers.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Over the years, the Company has executed a number of acquisitions that support its strategic plan (refer to Item </w:t>
      </w:r>
      <w:r>
        <w:rPr>
          <w:rStyle w:val="Emphasis"/>
          <w:rFonts w:ascii="Times New Roman;Times;serif" w:hAnsi="Times New Roman;Times;serif"/>
          <w:sz w:val="20"/>
        </w:rPr>
        <w:t>1</w:t>
      </w:r>
      <w:r>
        <w:rPr>
          <w:rFonts w:ascii="Times New Roman;Times;serif" w:hAnsi="Times New Roman;Times;serif"/>
          <w:sz w:val="20"/>
        </w:rPr>
        <w:t xml:space="preserve"> in the Company's Annual Report on Form </w:t>
      </w:r>
      <w:r>
        <w:rPr>
          <w:rStyle w:val="Emphasis"/>
          <w:rFonts w:ascii="Times New Roman;Times;serif" w:hAnsi="Times New Roman;Times;serif"/>
          <w:sz w:val="20"/>
        </w:rPr>
        <w:t>10</w:t>
      </w:r>
      <w:r>
        <w:rPr>
          <w:rFonts w:ascii="Times New Roman;Times;serif" w:hAnsi="Times New Roman;Times;serif"/>
          <w:sz w:val="20"/>
        </w:rPr>
        <w:t xml:space="preserve">-K for the year ended </w:t>
      </w:r>
      <w:r>
        <w:rPr>
          <w:rStyle w:val="Emphasis"/>
          <w:rFonts w:ascii="Times New Roman;Times;serif" w:hAnsi="Times New Roman;Times;serif"/>
          <w:sz w:val="20"/>
        </w:rPr>
        <w:t xml:space="preserve">December 31, 2025, </w:t>
      </w:r>
      <w:r>
        <w:rPr>
          <w:rFonts w:ascii="Times New Roman;Times;serif" w:hAnsi="Times New Roman;Times;serif"/>
          <w:sz w:val="20"/>
        </w:rPr>
        <w:t>for a discussion of the Company's “Powering a Smarter World” strategic plan). A summary of acquisitions affecting the reporting periods presented include:</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 xml:space="preserve">In </w:t>
            </w:r>
            <w:r>
              <w:rPr>
                <w:rStyle w:val="Emphasis"/>
              </w:rPr>
              <w:t xml:space="preserve">January 2026, </w:t>
            </w:r>
            <w:r>
              <w:rPr/>
              <w:t>the Company acquired Allmand, headquartered in Holdrege, Nebraska. Allmand is a leading manufacturer of mobile power equipment for commercial, industrial, and rental markets.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 xml:space="preserve">In </w:t>
            </w:r>
            <w:r>
              <w:rPr>
                <w:rStyle w:val="Emphasis"/>
              </w:rPr>
              <w:t xml:space="preserve">April 2026, </w:t>
            </w:r>
            <w:r>
              <w:rPr/>
              <w:t>the Company acquired Enercon Engineering, Inc. (Enercon), headquartered in East Peoria, Illinois. Enercon designs and manufactures custom power equipment and industrial enclosures for high-reliability applications for commercial and industrial markets.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 xml:space="preserve">In </w:t>
            </w:r>
            <w:r>
              <w:rPr>
                <w:rStyle w:val="Emphasis"/>
              </w:rPr>
              <w:t xml:space="preserve">May 2026, </w:t>
            </w:r>
            <w:r>
              <w:rPr/>
              <w:t>the Company acquired substantially all of the assets and liabilities of the Wolter Power Systems (Wolter) business, headquartered in Brookfield, Wisconsin. Wolter is an industrial and residential generator distributor as well as a provider of maintenance and repair services.</w:t>
            </w:r>
          </w:p>
        </w:tc>
      </w:tr>
    </w:tbl>
    <w:p>
      <w:pPr>
        <w:pStyle w:val="TextBody"/>
        <w:bidi w:val="0"/>
        <w:spacing w:before="0" w:after="0"/>
        <w:ind w:left="72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condensed consolidated balance sheet as of </w:t>
      </w:r>
      <w:r>
        <w:rPr>
          <w:rStyle w:val="Emphasis"/>
          <w:rFonts w:ascii="Times New Roman;Times;serif" w:hAnsi="Times New Roman;Times;serif"/>
          <w:sz w:val="20"/>
        </w:rPr>
        <w:t>June 30,</w:t>
      </w:r>
      <w:r>
        <w:rPr>
          <w:rFonts w:ascii="Times New Roman;Times;serif" w:hAnsi="Times New Roman;Times;serif"/>
          <w:sz w:val="20"/>
        </w:rPr>
        <w:t xml:space="preserve"> </w:t>
      </w:r>
      <w:r>
        <w:rPr>
          <w:rStyle w:val="Emphasis"/>
          <w:rFonts w:ascii="Times New Roman;Times;serif" w:hAnsi="Times New Roman;Times;serif"/>
          <w:sz w:val="20"/>
        </w:rPr>
        <w:t>2026,</w:t>
      </w:r>
      <w:r>
        <w:rPr>
          <w:rFonts w:ascii="Times New Roman;Times;serif" w:hAnsi="Times New Roman;Times;serif"/>
          <w:sz w:val="20"/>
        </w:rPr>
        <w:t xml:space="preserve"> the condensed consolidated statements of comprehensive income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 xml:space="preserve">June 30, 2026 </w:t>
      </w:r>
      <w:r>
        <w:rPr>
          <w:rFonts w:ascii="Times New Roman;Times;serif" w:hAnsi="Times New Roman;Times;serif"/>
          <w:sz w:val="20"/>
        </w:rPr>
        <w:t xml:space="preserve">and </w:t>
      </w:r>
      <w:r>
        <w:rPr>
          <w:rStyle w:val="Emphasis"/>
          <w:rFonts w:ascii="Times New Roman;Times;serif" w:hAnsi="Times New Roman;Times;serif"/>
          <w:sz w:val="20"/>
        </w:rPr>
        <w:t>2025</w:t>
      </w:r>
      <w:r>
        <w:rPr>
          <w:rFonts w:ascii="Times New Roman;Times;serif" w:hAnsi="Times New Roman;Times;serif"/>
          <w:sz w:val="20"/>
        </w:rPr>
        <w:t xml:space="preserve">, the condensed consolidated statements of stockholders’ equity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 xml:space="preserve">June 30, 2026 </w:t>
      </w:r>
      <w:r>
        <w:rPr>
          <w:rFonts w:ascii="Times New Roman;Times;serif" w:hAnsi="Times New Roman;Times;serif"/>
          <w:sz w:val="20"/>
        </w:rPr>
        <w:t xml:space="preserve">and </w:t>
      </w:r>
      <w:r>
        <w:rPr>
          <w:rStyle w:val="Emphasis"/>
          <w:rFonts w:ascii="Times New Roman;Times;serif" w:hAnsi="Times New Roman;Times;serif"/>
          <w:sz w:val="20"/>
        </w:rPr>
        <w:t>2025</w:t>
      </w:r>
      <w:r>
        <w:rPr>
          <w:rFonts w:ascii="Times New Roman;Times;serif" w:hAnsi="Times New Roman;Times;serif"/>
          <w:sz w:val="20"/>
        </w:rPr>
        <w:t>, and the condensed consolidated statements of cash flows for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 xml:space="preserve">June 30, 2026 </w:t>
      </w:r>
      <w:r>
        <w:rPr>
          <w:rFonts w:ascii="Times New Roman;Times;serif" w:hAnsi="Times New Roman;Times;serif"/>
          <w:sz w:val="20"/>
        </w:rPr>
        <w:t xml:space="preserve">and </w:t>
      </w:r>
      <w:r>
        <w:rPr>
          <w:rStyle w:val="Emphasis"/>
          <w:rFonts w:ascii="Times New Roman;Times;serif" w:hAnsi="Times New Roman;Times;serif"/>
          <w:sz w:val="20"/>
        </w:rPr>
        <w:t>2025</w:t>
      </w:r>
      <w:r>
        <w:rPr>
          <w:rFonts w:ascii="Times New Roman;Times;serif" w:hAnsi="Times New Roman;Times;serif"/>
          <w:sz w:val="20"/>
        </w:rPr>
        <w:t xml:space="preserve"> have been prepared by the Company and have </w:t>
      </w:r>
      <w:r>
        <w:rPr>
          <w:rStyle w:val="Emphasis"/>
          <w:rFonts w:ascii="Times New Roman;Times;serif" w:hAnsi="Times New Roman;Times;serif"/>
          <w:sz w:val="20"/>
        </w:rPr>
        <w:t>not</w:t>
      </w:r>
      <w:r>
        <w:rPr>
          <w:rFonts w:ascii="Times New Roman;Times;serif" w:hAnsi="Times New Roman;Times;serif"/>
          <w:sz w:val="20"/>
        </w:rPr>
        <w:t xml:space="preserve"> been audited. In the opinion of management, all adjustments (which include only normal recurring adjustments except where disclosed) necessary for the fair presentation of the financial position, results of operation, and cash flows have been made. The results of operations for any interim period are </w:t>
      </w:r>
      <w:r>
        <w:rPr>
          <w:rStyle w:val="Emphasis"/>
          <w:rFonts w:ascii="Times New Roman;Times;serif" w:hAnsi="Times New Roman;Times;serif"/>
          <w:sz w:val="20"/>
        </w:rPr>
        <w:t>not</w:t>
      </w:r>
      <w:r>
        <w:rPr>
          <w:rFonts w:ascii="Times New Roman;Times;serif" w:hAnsi="Times New Roman;Times;serif"/>
          <w:sz w:val="20"/>
        </w:rPr>
        <w:t xml:space="preserve"> necessarily indicative of the results to be expected for the full year.</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preparation of the condensed consolidated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revenues and expenses during the reporting period. Actual results could differ from those estimates. The condensed consolidated financial statements include the accounts of the Company and its subsidiaries that are consolidated in conformity with accounting principles generally accepted in the United States of America (GAAP). All intercompany amounts and transactions have been eliminated in consolidation.</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Certain information and footnote disclosures normally included in consolidated financial statements prepared in accordance with GAAP have been condensed or omitted. These condensed consolidated financial statements should be read in conjunction with the consolidated financial statements and notes thereto included in the Company's Annual Report on Form </w:t>
      </w:r>
      <w:r>
        <w:rPr>
          <w:rStyle w:val="Emphasis"/>
          <w:rFonts w:ascii="Times New Roman;Times;serif" w:hAnsi="Times New Roman;Times;serif"/>
          <w:sz w:val="20"/>
        </w:rPr>
        <w:t>10</w:t>
      </w:r>
      <w:r>
        <w:rPr>
          <w:rFonts w:ascii="Times New Roman;Times;serif" w:hAnsi="Times New Roman;Times;serif"/>
          <w:sz w:val="20"/>
        </w:rPr>
        <w:t xml:space="preserve">-K for the year ended </w:t>
      </w:r>
      <w:r>
        <w:rPr>
          <w:rStyle w:val="Emphasis"/>
          <w:rFonts w:ascii="Times New Roman;Times;serif" w:hAnsi="Times New Roman;Times;serif"/>
          <w:sz w:val="20"/>
        </w:rPr>
        <w:t>December 31, 2025</w:t>
      </w:r>
      <w:r>
        <w:rPr>
          <w:rFonts w:ascii="Times New Roman;Times;serif" w:hAnsi="Times New Roman;Times;serif"/>
          <w:sz w:val="20"/>
        </w:rPr>
        <w: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Tariff Refund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20, 2026, </w:t>
      </w:r>
      <w:r>
        <w:rPr>
          <w:rFonts w:ascii="Times New Roman" w:hAnsi="Times New Roman"/>
          <w:caps w:val="false"/>
          <w:smallCaps w:val="false"/>
          <w:sz w:val="20"/>
        </w:rPr>
        <w:t xml:space="preserve">the U.S. Supreme Court issued a decision invalidating tariffs imposed under the International Emergency Economic Powers Act (IEEPA) and allowing for the recovery of IEEPA tariff amounts previously paid. The Company elected to account for the refund of tariffs under a loss recovery model pursuant to Accounting Standards Codification (ASC) </w:t>
      </w:r>
      <w:r>
        <w:rPr>
          <w:rStyle w:val="Emphasis"/>
          <w:rFonts w:ascii="Times New Roman" w:hAnsi="Times New Roman"/>
          <w:caps w:val="false"/>
          <w:smallCaps w:val="false"/>
          <w:sz w:val="20"/>
        </w:rPr>
        <w:t>410</w:t>
      </w:r>
      <w:r>
        <w:rPr>
          <w:rFonts w:ascii="Times New Roman" w:hAnsi="Times New Roman"/>
          <w:caps w:val="false"/>
          <w:smallCaps w:val="false"/>
          <w:sz w:val="20"/>
        </w:rPr>
        <w:t>-</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 Under the loss recovery model, an asset for recovery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recognized only when receipt is considered probable, as defined under ASC </w:t>
      </w:r>
      <w:r>
        <w:rPr>
          <w:rStyle w:val="Emphasis"/>
          <w:rFonts w:ascii="Times New Roman" w:hAnsi="Times New Roman"/>
          <w:caps w:val="false"/>
          <w:smallCaps w:val="false"/>
          <w:sz w:val="20"/>
        </w:rPr>
        <w:t>450</w:t>
      </w:r>
      <w:r>
        <w:rPr>
          <w:rFonts w:ascii="Times New Roman" w:hAnsi="Times New Roman"/>
          <w:caps w:val="false"/>
          <w:smallCaps w:val="false"/>
          <w:sz w:val="20"/>
        </w:rPr>
        <w:t>-</w:t>
      </w:r>
      <w:r>
        <w:rPr>
          <w:rStyle w:val="Emphasis"/>
          <w:rFonts w:ascii="Times New Roman" w:hAnsi="Times New Roman"/>
          <w:caps w:val="false"/>
          <w:smallCaps w:val="false"/>
          <w:sz w:val="20"/>
        </w:rPr>
        <w:t>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Company received tariff refunds totaling approximately $61,400.  Additionally, the Company recorded a tariff refund receivable within prepaid expenses and other current assets in the condensed consolidated balance sheets of approximately $27,700 for which the Company has deemed receipt probable to occur.  Approximately $71,100 of the tariff recovery was recorded as a reduction of cost of goods sold in the condensed consolidated statements of comprehensive income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and the remainder was recorded in inventories in the condensed consolidated balance sheets.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New Accounting Pronouncements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Changes to GAAP are established by the Financial Accounting Standards Board (FASB) in the form of accounting standard updates (ASUs) to the FASB Accounting Standards Codification.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In </w:t>
      </w:r>
      <w:r>
        <w:rPr>
          <w:rStyle w:val="Emphasis"/>
          <w:rFonts w:ascii="Times New Roman;Times;serif" w:hAnsi="Times New Roman;Times;serif"/>
          <w:sz w:val="20"/>
        </w:rPr>
        <w:t xml:space="preserve">September 2025, </w:t>
      </w:r>
      <w:r>
        <w:rPr>
          <w:rFonts w:ascii="Times New Roman;Times;serif" w:hAnsi="Times New Roman;Times;serif"/>
          <w:sz w:val="20"/>
        </w:rPr>
        <w:t xml:space="preserve">the FASB issued </w:t>
      </w:r>
      <w:r>
        <w:rPr>
          <w:rFonts w:ascii="Times New Roman;Times;serif" w:hAnsi="Times New Roman;Times;serif"/>
          <w:i/>
          <w:sz w:val="20"/>
        </w:rPr>
        <w:t xml:space="preserve">ASU </w:t>
      </w:r>
      <w:r>
        <w:rPr>
          <w:rStyle w:val="Emphasis"/>
          <w:rFonts w:ascii="Times New Roman;Times;serif" w:hAnsi="Times New Roman;Times;serif"/>
          <w:i/>
          <w:sz w:val="20"/>
        </w:rPr>
        <w:t>2025</w:t>
      </w:r>
      <w:r>
        <w:rPr>
          <w:rFonts w:ascii="Times New Roman;Times;serif" w:hAnsi="Times New Roman;Times;serif"/>
          <w:i/>
          <w:sz w:val="20"/>
        </w:rPr>
        <w:t>-</w:t>
      </w:r>
      <w:r>
        <w:rPr>
          <w:rStyle w:val="Emphasis"/>
          <w:rFonts w:ascii="Times New Roman;Times;serif" w:hAnsi="Times New Roman;Times;serif"/>
          <w:i/>
          <w:sz w:val="20"/>
        </w:rPr>
        <w:t>06</w:t>
      </w:r>
      <w:r>
        <w:rPr>
          <w:rFonts w:ascii="Times New Roman;Times;serif" w:hAnsi="Times New Roman;Times;serif"/>
          <w:i/>
          <w:sz w:val="20"/>
        </w:rPr>
        <w:t xml:space="preserve"> Intangibles </w:t>
      </w:r>
      <w:r>
        <w:rPr>
          <w:rFonts w:ascii="Times New Roman;Times;serif" w:hAnsi="Times New Roman;Times;serif"/>
          <w:sz w:val="20"/>
        </w:rPr>
        <w:t xml:space="preserve">– </w:t>
      </w:r>
      <w:r>
        <w:rPr>
          <w:rFonts w:ascii="Times New Roman;Times;serif" w:hAnsi="Times New Roman;Times;serif"/>
          <w:i/>
          <w:sz w:val="20"/>
        </w:rPr>
        <w:t xml:space="preserve">Goodwill and Other </w:t>
      </w:r>
      <w:r>
        <w:rPr>
          <w:rFonts w:ascii="Times New Roman;Times;serif" w:hAnsi="Times New Roman;Times;serif"/>
          <w:sz w:val="20"/>
        </w:rPr>
        <w:t xml:space="preserve">– </w:t>
      </w:r>
      <w:r>
        <w:rPr>
          <w:rFonts w:ascii="Times New Roman;Times;serif" w:hAnsi="Times New Roman;Times;serif"/>
          <w:i/>
          <w:sz w:val="20"/>
        </w:rPr>
        <w:t xml:space="preserve">Internal-Use Software (Subtopic </w:t>
      </w:r>
      <w:r>
        <w:rPr>
          <w:rStyle w:val="Emphasis"/>
          <w:rFonts w:ascii="Times New Roman;Times;serif" w:hAnsi="Times New Roman;Times;serif"/>
          <w:i/>
          <w:sz w:val="20"/>
        </w:rPr>
        <w:t>350</w:t>
      </w:r>
      <w:r>
        <w:rPr>
          <w:rFonts w:ascii="Times New Roman;Times;serif" w:hAnsi="Times New Roman;Times;serif"/>
          <w:i/>
          <w:sz w:val="20"/>
        </w:rPr>
        <w:t>-</w:t>
      </w:r>
      <w:r>
        <w:rPr>
          <w:rStyle w:val="Emphasis"/>
          <w:rFonts w:ascii="Times New Roman;Times;serif" w:hAnsi="Times New Roman;Times;serif"/>
          <w:i/>
          <w:sz w:val="20"/>
        </w:rPr>
        <w:t>40</w:t>
      </w:r>
      <w:r>
        <w:rPr>
          <w:rFonts w:ascii="Times New Roman;Times;serif" w:hAnsi="Times New Roman;Times;serif"/>
          <w:i/>
          <w:sz w:val="20"/>
        </w:rPr>
        <w:t>)</w:t>
      </w:r>
      <w:r>
        <w:rPr>
          <w:rFonts w:ascii="Times New Roman;Times;serif" w:hAnsi="Times New Roman;Times;serif"/>
          <w:sz w:val="20"/>
        </w:rPr>
        <w:t xml:space="preserve">. The update is intended to better align internal use software guidance with modern development methods, which have evolved to commonly include incremental and iterative development approaches. The ASU requires an entity to start capitalizing software costs when management has authorized and committed to funding a software project and when it is probable the project will be completed and used to perform the intended function. The ASU amendments also supersede previous guidance on website development costs. The update is effective for fiscal years beginning after </w:t>
      </w:r>
      <w:r>
        <w:rPr>
          <w:rStyle w:val="Emphasis"/>
          <w:rFonts w:ascii="Times New Roman;Times;serif" w:hAnsi="Times New Roman;Times;serif"/>
          <w:sz w:val="20"/>
        </w:rPr>
        <w:t xml:space="preserve">December 15, 2027 </w:t>
      </w:r>
      <w:r>
        <w:rPr>
          <w:rFonts w:ascii="Times New Roman;Times;serif" w:hAnsi="Times New Roman;Times;serif"/>
          <w:sz w:val="20"/>
        </w:rPr>
        <w:t xml:space="preserve">and </w:t>
      </w:r>
      <w:r>
        <w:rPr>
          <w:rStyle w:val="Emphasis"/>
          <w:rFonts w:ascii="Times New Roman;Times;serif" w:hAnsi="Times New Roman;Times;serif"/>
          <w:sz w:val="20"/>
        </w:rPr>
        <w:t xml:space="preserve">may </w:t>
      </w:r>
      <w:r>
        <w:rPr>
          <w:rFonts w:ascii="Times New Roman;Times;serif" w:hAnsi="Times New Roman;Times;serif"/>
          <w:sz w:val="20"/>
        </w:rPr>
        <w:t>be adopted prospectively, retrospectively or with a modified transition approach. Early adoption is permitted. The Company is currently assessing the impact and timing of adopting the updated standard.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In </w:t>
      </w:r>
      <w:r>
        <w:rPr>
          <w:rStyle w:val="Emphasis"/>
          <w:rFonts w:ascii="Times New Roman;Times;serif" w:hAnsi="Times New Roman;Times;serif"/>
          <w:sz w:val="20"/>
        </w:rPr>
        <w:t xml:space="preserve">November 2024, </w:t>
      </w:r>
      <w:r>
        <w:rPr>
          <w:rFonts w:ascii="Times New Roman;Times;serif" w:hAnsi="Times New Roman;Times;serif"/>
          <w:sz w:val="20"/>
        </w:rPr>
        <w:t xml:space="preserve">the FASB issued </w:t>
      </w:r>
      <w:r>
        <w:rPr>
          <w:rFonts w:ascii="Times New Roman;Times;serif" w:hAnsi="Times New Roman;Times;serif"/>
          <w:i/>
          <w:sz w:val="20"/>
        </w:rPr>
        <w:t xml:space="preserve">ASU </w:t>
      </w:r>
      <w:r>
        <w:rPr>
          <w:rStyle w:val="Emphasis"/>
          <w:rFonts w:ascii="Times New Roman;Times;serif" w:hAnsi="Times New Roman;Times;serif"/>
          <w:i/>
          <w:sz w:val="20"/>
        </w:rPr>
        <w:t>2024</w:t>
      </w:r>
      <w:r>
        <w:rPr>
          <w:rFonts w:ascii="Times New Roman;Times;serif" w:hAnsi="Times New Roman;Times;serif"/>
          <w:i/>
          <w:sz w:val="20"/>
        </w:rPr>
        <w:t>-</w:t>
      </w:r>
      <w:r>
        <w:rPr>
          <w:rStyle w:val="Emphasis"/>
          <w:rFonts w:ascii="Times New Roman;Times;serif" w:hAnsi="Times New Roman;Times;serif"/>
          <w:i/>
          <w:sz w:val="20"/>
        </w:rPr>
        <w:t>03</w:t>
      </w:r>
      <w:r>
        <w:rPr>
          <w:rFonts w:ascii="Times New Roman;Times;serif" w:hAnsi="Times New Roman;Times;serif"/>
          <w:i/>
          <w:sz w:val="20"/>
        </w:rPr>
        <w:t xml:space="preserve"> Income Statement - Reporting Comprehensive Income - Expense Disaggregation Disclosures (Subtopic </w:t>
      </w:r>
      <w:r>
        <w:rPr>
          <w:rStyle w:val="Emphasis"/>
          <w:rFonts w:ascii="Times New Roman;Times;serif" w:hAnsi="Times New Roman;Times;serif"/>
          <w:i/>
          <w:sz w:val="20"/>
        </w:rPr>
        <w:t>220</w:t>
      </w:r>
      <w:r>
        <w:rPr>
          <w:rFonts w:ascii="Times New Roman;Times;serif" w:hAnsi="Times New Roman;Times;serif"/>
          <w:i/>
          <w:sz w:val="20"/>
        </w:rPr>
        <w:t>-</w:t>
      </w:r>
      <w:r>
        <w:rPr>
          <w:rStyle w:val="Emphasis"/>
          <w:rFonts w:ascii="Times New Roman;Times;serif" w:hAnsi="Times New Roman;Times;serif"/>
          <w:i/>
          <w:sz w:val="20"/>
        </w:rPr>
        <w:t>40</w:t>
      </w:r>
      <w:r>
        <w:rPr>
          <w:rFonts w:ascii="Times New Roman;Times;serif" w:hAnsi="Times New Roman;Times;serif"/>
          <w:i/>
          <w:sz w:val="20"/>
        </w:rPr>
        <w:t>): Disaggregation of Income Statement Expenses</w:t>
      </w:r>
      <w:r>
        <w:rPr>
          <w:rFonts w:ascii="Times New Roman;Times;serif" w:hAnsi="Times New Roman;Times;serif"/>
          <w:sz w:val="20"/>
        </w:rPr>
        <w:t xml:space="preserve">. The new guidance is intended to provide investors with more detailed disclosures around specific types of expenses. The new disclosures require additional quantitative and qualitative information for certain expenses contained within the consolidated statements of comprehensive income to be presented in the notes to the financial statements. The update is effective for fiscal years beginning after </w:t>
      </w:r>
      <w:r>
        <w:rPr>
          <w:rStyle w:val="Emphasis"/>
          <w:rFonts w:ascii="Times New Roman;Times;serif" w:hAnsi="Times New Roman;Times;serif"/>
          <w:sz w:val="20"/>
        </w:rPr>
        <w:t xml:space="preserve">December 15, 2026, </w:t>
      </w:r>
      <w:r>
        <w:rPr>
          <w:rFonts w:ascii="Times New Roman;Times;serif" w:hAnsi="Times New Roman;Times;serif"/>
          <w:sz w:val="20"/>
        </w:rPr>
        <w:t xml:space="preserve">and interim periods within fiscal years beginning after </w:t>
      </w:r>
      <w:r>
        <w:rPr>
          <w:rStyle w:val="Emphasis"/>
          <w:rFonts w:ascii="Times New Roman;Times;serif" w:hAnsi="Times New Roman;Times;serif"/>
          <w:sz w:val="20"/>
        </w:rPr>
        <w:t xml:space="preserve">December 15, 2027, </w:t>
      </w:r>
      <w:r>
        <w:rPr>
          <w:rFonts w:ascii="Times New Roman;Times;serif" w:hAnsi="Times New Roman;Times;serif"/>
          <w:sz w:val="20"/>
        </w:rPr>
        <w:t>with early adoption permitted. The disclosure updates are required to be applied prospectively with the option for retrospective application. The Company is currently assessing the impact and timing of adopting the updated standard.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shd w:fill="FFFFFF" w:val="clear"/>
        </w:rPr>
        <w:t xml:space="preserve">There have been </w:t>
      </w:r>
      <w:r>
        <w:rPr>
          <w:rStyle w:val="Emphasis"/>
          <w:rFonts w:ascii="Times New Roman;Times;serif" w:hAnsi="Times New Roman;Times;serif"/>
          <w:sz w:val="20"/>
          <w:shd w:fill="FFFFFF" w:val="clear"/>
        </w:rPr>
        <w:t>no</w:t>
      </w:r>
      <w:r>
        <w:rPr>
          <w:rFonts w:ascii="Times New Roman;Times;serif" w:hAnsi="Times New Roman;Times;serif"/>
          <w:sz w:val="20"/>
          <w:shd w:fill="FFFFFF" w:val="clear"/>
        </w:rPr>
        <w:t xml:space="preserve"> other recent accounting pronouncements, changes in accounting pronouncements, or recently adopted accounting guidance du</w:t>
      </w:r>
      <w:r>
        <w:rPr>
          <w:rFonts w:ascii="Times New Roman;Times;serif" w:hAnsi="Times New Roman;Times;serif"/>
          <w:sz w:val="20"/>
        </w:rPr>
        <w:t xml:space="preserve">ring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 xml:space="preserve">June 30, 2026, </w:t>
      </w:r>
      <w:r>
        <w:rPr>
          <w:rFonts w:ascii="Times New Roman;Times;serif" w:hAnsi="Times New Roman;Times;serif"/>
          <w:sz w:val="20"/>
        </w:rPr>
        <w:t>that are of significance or potential significance to the Company's consolidated financial statements or disclosures. </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Emphasis"/>
          <w:rFonts w:ascii="Times New Roman" w:hAnsi="Times New Roman"/>
          <w:sz w:val="20"/>
        </w:rPr>
        <w:t>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2</w:t>
      </w:r>
      <w:r>
        <w:rPr>
          <w:rFonts w:ascii="Times New Roman;Times;serif" w:hAnsi="Times New Roman;Times;serif"/>
          <w:b/>
          <w:sz w:val="20"/>
        </w:rPr>
        <w:t>.   Acquisitions and Dispositions</w:t>
      </w:r>
    </w:p>
    <w:p>
      <w:pPr>
        <w:pStyle w:val="TextBody"/>
        <w:bidi w:val="0"/>
        <w:spacing w:before="0" w:after="0"/>
        <w:ind w:left="0" w:right="0" w:hanging="0"/>
        <w:jc w:val="both"/>
        <w:rPr/>
      </w:pPr>
      <w:r>
        <w:rPr/>
        <w:t> </w:t>
      </w:r>
    </w:p>
    <w:p>
      <w:pPr>
        <w:pStyle w:val="TextBody"/>
        <w:bidi w:val="0"/>
        <w:spacing w:before="0" w:after="0"/>
        <w:ind w:left="0" w:right="0" w:hanging="0"/>
        <w:jc w:val="left"/>
        <w:rPr/>
      </w:pPr>
      <w:r>
        <w:rPr>
          <w:rFonts w:ascii="Times New Roman;Times;serif" w:hAnsi="Times New Roman;Times;serif"/>
          <w:b/>
          <w:i/>
          <w:sz w:val="20"/>
        </w:rPr>
        <w:t xml:space="preserve">Fiscal </w:t>
      </w:r>
      <w:r>
        <w:rPr>
          <w:rStyle w:val="Emphasis"/>
          <w:rFonts w:ascii="Times New Roman;Times;serif" w:hAnsi="Times New Roman;Times;serif"/>
          <w:b/>
          <w:i/>
          <w:sz w:val="20"/>
        </w:rPr>
        <w:t>2026</w:t>
      </w:r>
      <w:r>
        <w:rPr>
          <w:rFonts w:ascii="Times New Roman;Times;serif" w:hAnsi="Times New Roman;Times;serif"/>
          <w:b/>
          <w:i/>
          <w:sz w:val="20"/>
        </w:rPr>
        <w:t> Acquisitions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January 2026, </w:t>
      </w:r>
      <w:r>
        <w:rPr>
          <w:rFonts w:ascii="Times New Roman" w:hAnsi="Times New Roman"/>
          <w:caps w:val="false"/>
          <w:smallCaps w:val="false"/>
          <w:sz w:val="20"/>
        </w:rPr>
        <w:t>the Company acquired Allmand, headquartered in Holdrege, Nebraska. Allmand is a leading manufacturer of mobile power equipment for commercial, industrial, and rental markets.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April 2026, </w:t>
      </w:r>
      <w:r>
        <w:rPr>
          <w:rFonts w:ascii="Times New Roman" w:hAnsi="Times New Roman"/>
          <w:caps w:val="false"/>
          <w:smallCaps w:val="false"/>
          <w:sz w:val="20"/>
        </w:rPr>
        <w:t>the Company acquired Enercon, headquartered in East Peoria, Illinois. Enercon designs and manufactures custom power equipment and industrial enclosures for high-reliability applications for commercial and industrial markets.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May 2026, </w:t>
      </w:r>
      <w:r>
        <w:rPr>
          <w:rFonts w:ascii="Times New Roman" w:hAnsi="Times New Roman"/>
          <w:caps w:val="false"/>
          <w:smallCaps w:val="false"/>
          <w:sz w:val="20"/>
        </w:rPr>
        <w:t>the Company acquired substantially all of the assets and liabilities of the Wolter Power Systems business, headquartered in Brookfield, Wisconsin. Wolter is an industrial and residential generator distributor as well as a provider of maintenance and repair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June 2026, </w:t>
      </w:r>
      <w:r>
        <w:rPr>
          <w:rFonts w:ascii="Times New Roman" w:hAnsi="Times New Roman"/>
          <w:caps w:val="false"/>
          <w:smallCaps w:val="false"/>
          <w:sz w:val="20"/>
        </w:rPr>
        <w:t xml:space="preserve">the Company signed an agreement to purchase the assets and assume the liabilities of New Way Power Proprietary Limited (New Way), a supplier of back-up power solutions, located in Johannesburg, South Africa. The acquisition is expected to close in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2026.</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The combined preliminary purchase price for the closed acquisitions is $348,482, net of cash acquired and inclusive of holdbacks and estimated contingent consideration, of which $44,785 was funded through the issuance of treasury stock and the remainder in cash.  The Company recorded its preliminary purchase price allocation based on its estimates of the fair value of the acquired assets and assumed liabilities. Purchase accounting for Allmand will be finalized prior to </w:t>
      </w:r>
      <w:r>
        <w:rPr>
          <w:rStyle w:val="Emphasis"/>
          <w:rFonts w:ascii="Times New Roman" w:hAnsi="Times New Roman"/>
          <w:caps w:val="false"/>
          <w:smallCaps w:val="false"/>
          <w:sz w:val="20"/>
        </w:rPr>
        <w:t xml:space="preserve">March 31, 2027, </w:t>
      </w:r>
      <w:r>
        <w:rPr>
          <w:rFonts w:ascii="Times New Roman" w:hAnsi="Times New Roman"/>
          <w:caps w:val="false"/>
          <w:smallCaps w:val="false"/>
          <w:sz w:val="20"/>
        </w:rPr>
        <w:t xml:space="preserve">while purchase accounting for Enercon and Wolter will be finalized prior to </w:t>
      </w:r>
      <w:r>
        <w:rPr>
          <w:rStyle w:val="Emphasis"/>
          <w:rFonts w:ascii="Times New Roman" w:hAnsi="Times New Roman"/>
          <w:caps w:val="false"/>
          <w:smallCaps w:val="false"/>
          <w:sz w:val="20"/>
        </w:rPr>
        <w:t xml:space="preserve">June 30, 2027. </w:t>
      </w:r>
      <w:r>
        <w:rPr>
          <w:rFonts w:ascii="Times New Roman" w:hAnsi="Times New Roman"/>
          <w:caps w:val="false"/>
          <w:smallCaps w:val="false"/>
          <w:sz w:val="20"/>
        </w:rPr>
        <w:t xml:space="preserve">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material changes to the preliminary purchase price allocation for Allmand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All of these acquisitions are included within the Commercial &amp; Industrial segment.</w:t>
      </w:r>
    </w:p>
    <w:p>
      <w:pPr>
        <w:pStyle w:val="TextBody"/>
        <w:bidi w:val="0"/>
        <w:spacing w:before="0" w:after="0"/>
        <w:ind w:left="0" w:right="0" w:hanging="0"/>
        <w:jc w:val="left"/>
        <w:rPr/>
      </w:pPr>
      <w:r>
        <w:rPr>
          <w:rFonts w:ascii="Times New Roman" w:hAnsi="Times New Roman"/>
          <w:caps w:val="false"/>
          <w:smallCaps w:val="false"/>
          <w:sz w:val="20"/>
        </w:rPr>
        <w:br/>
        <w:t xml:space="preserve">The accompanying condensed consolidated financial statements include the results of Allmand, Enercon, and Wolter from their dates of acquisition through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Pro forma and other financial information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presented as the effects of these acquisitions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material to the Company's results of operations or financial position. </w:t>
        <w:br/>
        <w:t> </w:t>
        <w:br/>
      </w:r>
      <w:r>
        <w:rPr>
          <w:rFonts w:ascii="Times New Roman" w:hAnsi="Times New Roman"/>
          <w:b/>
          <w:i/>
          <w:caps w:val="false"/>
          <w:smallCaps w:val="false"/>
          <w:sz w:val="20"/>
        </w:rPr>
        <w:t>Summary Purchase Price Allocations</w:t>
      </w:r>
      <w:r>
        <w:rPr>
          <w:rFonts w:ascii="Times New Roman" w:hAnsi="Times New Roman"/>
          <w:caps w:val="false"/>
          <w:smallCaps w:val="false"/>
          <w:sz w:val="20"/>
        </w:rPr>
        <w:br/>
        <w:t> </w:t>
        <w:br/>
        <w:t xml:space="preserve">The fair values assigned to certain assets acquired and liabilities assumed for all acquisitions completed during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to date are shown below.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material acquisitions were completed in </w:t>
      </w:r>
      <w:r>
        <w:rPr>
          <w:rStyle w:val="Emphasis"/>
          <w:rFonts w:ascii="Times New Roman" w:hAnsi="Times New Roman"/>
          <w:caps w:val="false"/>
          <w:smallCaps w:val="false"/>
          <w:sz w:val="20"/>
        </w:rPr>
        <w:t>2025.</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tbl>
      <w:tblPr>
        <w:tblW w:w="7344" w:type="dxa"/>
        <w:jc w:val="left"/>
        <w:tblInd w:w="0" w:type="dxa"/>
        <w:tblLayout w:type="fixed"/>
        <w:tblCellMar>
          <w:top w:w="0" w:type="dxa"/>
          <w:left w:w="0" w:type="dxa"/>
          <w:bottom w:w="0" w:type="dxa"/>
          <w:right w:w="0" w:type="dxa"/>
        </w:tblCellMar>
      </w:tblPr>
      <w:tblGrid>
        <w:gridCol w:w="5705"/>
        <w:gridCol w:w="60"/>
        <w:gridCol w:w="230"/>
        <w:gridCol w:w="1289"/>
        <w:gridCol w:w="60"/>
      </w:tblGrid>
      <w:tr>
        <w:trPr/>
        <w:tc>
          <w:tcPr>
            <w:tcW w:w="5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 Acquisitions</w:t>
            </w:r>
          </w:p>
        </w:tc>
        <w:tc>
          <w:tcPr>
            <w:tcW w:w="6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CCEEFF" w:val="clear"/>
            <w:vAlign w:val="center"/>
          </w:tcPr>
          <w:p>
            <w:pPr>
              <w:pStyle w:val="TableContents"/>
              <w:bidi w:val="0"/>
              <w:spacing w:before="0" w:after="283"/>
              <w:ind w:left="0" w:right="0" w:hanging="0"/>
              <w:jc w:val="left"/>
              <w:rPr/>
            </w:pPr>
            <w:r>
              <w:rPr/>
              <w:t> </w:t>
            </w:r>
          </w:p>
        </w:tc>
        <w:tc>
          <w:tcPr>
            <w:tcW w:w="2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20,408</w:t>
            </w:r>
          </w:p>
        </w:tc>
        <w:tc>
          <w:tcPr>
            <w:tcW w:w="6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ind w:left="0" w:right="0" w:hanging="0"/>
              <w:jc w:val="left"/>
              <w:rPr/>
            </w:pPr>
            <w:r>
              <w:rPr/>
              <w:t> </w:t>
            </w:r>
          </w:p>
        </w:tc>
        <w:tc>
          <w:tcPr>
            <w:tcW w:w="12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31,701</w:t>
            </w:r>
          </w:p>
        </w:tc>
        <w:tc>
          <w:tcPr>
            <w:tcW w:w="6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ind w:left="0" w:right="0" w:hanging="0"/>
              <w:jc w:val="left"/>
              <w:rPr/>
            </w:pPr>
            <w:r>
              <w:rPr/>
              <w:t> </w:t>
            </w:r>
          </w:p>
        </w:tc>
        <w:tc>
          <w:tcPr>
            <w:tcW w:w="12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w:t>
            </w:r>
          </w:p>
        </w:tc>
        <w:tc>
          <w:tcPr>
            <w:tcW w:w="6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ind w:left="0" w:right="0" w:hanging="0"/>
              <w:jc w:val="left"/>
              <w:rPr/>
            </w:pPr>
            <w:r>
              <w:rPr/>
              <w:t> </w:t>
            </w:r>
          </w:p>
        </w:tc>
        <w:tc>
          <w:tcPr>
            <w:tcW w:w="12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17,960</w:t>
            </w:r>
          </w:p>
        </w:tc>
        <w:tc>
          <w:tcPr>
            <w:tcW w:w="6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ind w:left="0" w:right="0" w:hanging="0"/>
              <w:jc w:val="left"/>
              <w:rPr/>
            </w:pPr>
            <w:r>
              <w:rPr/>
              <w:t> </w:t>
            </w:r>
          </w:p>
        </w:tc>
        <w:tc>
          <w:tcPr>
            <w:tcW w:w="12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88,900</w:t>
            </w:r>
          </w:p>
        </w:tc>
        <w:tc>
          <w:tcPr>
            <w:tcW w:w="6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ind w:left="0" w:right="0" w:hanging="0"/>
              <w:jc w:val="left"/>
              <w:rPr/>
            </w:pPr>
            <w:r>
              <w:rPr/>
              <w:t> </w:t>
            </w:r>
          </w:p>
        </w:tc>
        <w:tc>
          <w:tcPr>
            <w:tcW w:w="12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208,598</w:t>
            </w:r>
          </w:p>
        </w:tc>
        <w:tc>
          <w:tcPr>
            <w:tcW w:w="6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and other non-current assets</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6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 acquired</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368,138</w:t>
            </w:r>
          </w:p>
        </w:tc>
        <w:tc>
          <w:tcPr>
            <w:tcW w:w="6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ind w:left="0" w:right="0" w:hanging="0"/>
              <w:jc w:val="left"/>
              <w:rPr/>
            </w:pPr>
            <w:r>
              <w:rPr/>
              <w:t> </w:t>
            </w:r>
          </w:p>
        </w:tc>
        <w:tc>
          <w:tcPr>
            <w:tcW w:w="12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13,971</w:t>
            </w:r>
          </w:p>
        </w:tc>
        <w:tc>
          <w:tcPr>
            <w:tcW w:w="6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wages and employee benefits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ind w:left="0" w:right="0" w:hanging="0"/>
              <w:jc w:val="left"/>
              <w:rPr/>
            </w:pPr>
            <w:r>
              <w:rPr/>
              <w:t> </w:t>
            </w:r>
          </w:p>
        </w:tc>
        <w:tc>
          <w:tcPr>
            <w:tcW w:w="12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2,418</w:t>
            </w:r>
          </w:p>
        </w:tc>
        <w:tc>
          <w:tcPr>
            <w:tcW w:w="6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accrued liabilities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ind w:left="0" w:right="0" w:hanging="0"/>
              <w:jc w:val="left"/>
              <w:rPr/>
            </w:pPr>
            <w:r>
              <w:rPr/>
              <w:t> </w:t>
            </w:r>
          </w:p>
        </w:tc>
        <w:tc>
          <w:tcPr>
            <w:tcW w:w="12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1,520</w:t>
            </w:r>
          </w:p>
        </w:tc>
        <w:tc>
          <w:tcPr>
            <w:tcW w:w="6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product warranty</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ind w:left="0" w:right="0" w:hanging="0"/>
              <w:jc w:val="left"/>
              <w:rPr/>
            </w:pPr>
            <w:r>
              <w:rPr/>
              <w:t> </w:t>
            </w:r>
          </w:p>
        </w:tc>
        <w:tc>
          <w:tcPr>
            <w:tcW w:w="12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w:t>
            </w:r>
          </w:p>
        </w:tc>
        <w:tc>
          <w:tcPr>
            <w:tcW w:w="6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long-term borrowings and finance lease obligations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ind w:left="0" w:right="0" w:hanging="0"/>
              <w:jc w:val="left"/>
              <w:rPr/>
            </w:pPr>
            <w:r>
              <w:rPr/>
              <w:t> </w:t>
            </w:r>
          </w:p>
        </w:tc>
        <w:tc>
          <w:tcPr>
            <w:tcW w:w="12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w:t>
            </w:r>
          </w:p>
        </w:tc>
        <w:tc>
          <w:tcPr>
            <w:tcW w:w="6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and other long-term liabilities</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1,190</w:t>
            </w:r>
          </w:p>
        </w:tc>
        <w:tc>
          <w:tcPr>
            <w:tcW w:w="6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assets acquired</w:t>
            </w:r>
          </w:p>
        </w:tc>
        <w:tc>
          <w:tcPr>
            <w:tcW w:w="60" w:type="dxa"/>
            <w:tcBorders/>
            <w:shd w:fill="FFFFFF" w:val="clear"/>
            <w:vAlign w:val="center"/>
          </w:tcPr>
          <w:p>
            <w:pPr>
              <w:pStyle w:val="TableContents"/>
              <w:bidi w:val="0"/>
              <w:spacing w:before="0" w:after="283"/>
              <w:ind w:left="0" w:right="0" w:hanging="0"/>
              <w:jc w:val="left"/>
              <w:rPr/>
            </w:pPr>
            <w:r>
              <w:rPr/>
              <w:t> </w:t>
            </w:r>
          </w:p>
        </w:tc>
        <w:tc>
          <w:tcPr>
            <w:tcW w:w="2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348,482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left"/>
        <w:rPr/>
      </w:pPr>
      <w:r>
        <w:rPr>
          <w:rFonts w:ascii="Times New Roman;Times;serif" w:hAnsi="Times New Roman;Times;serif"/>
          <w:b/>
          <w:i/>
          <w:sz w:val="20"/>
        </w:rPr>
        <w:t xml:space="preserve">Fiscal </w:t>
      </w:r>
      <w:r>
        <w:rPr>
          <w:rStyle w:val="Emphasis"/>
          <w:rFonts w:ascii="Times New Roman;Times;serif" w:hAnsi="Times New Roman;Times;serif"/>
          <w:b/>
          <w:i/>
          <w:sz w:val="20"/>
        </w:rPr>
        <w:t>2026</w:t>
      </w:r>
      <w:r>
        <w:rPr>
          <w:rFonts w:ascii="Times New Roman;Times;serif" w:hAnsi="Times New Roman;Times;serif"/>
          <w:b/>
          <w:i/>
          <w:sz w:val="20"/>
        </w:rPr>
        <w:t xml:space="preserve"> and </w:t>
      </w:r>
      <w:r>
        <w:rPr>
          <w:rStyle w:val="Emphasis"/>
          <w:rFonts w:ascii="Times New Roman;Times;serif" w:hAnsi="Times New Roman;Times;serif"/>
          <w:b/>
          <w:i/>
          <w:sz w:val="20"/>
        </w:rPr>
        <w:t>2025</w:t>
      </w:r>
      <w:r>
        <w:rPr>
          <w:rFonts w:ascii="Times New Roman;Times;serif" w:hAnsi="Times New Roman;Times;serif"/>
          <w:b/>
          <w:i/>
          <w:sz w:val="20"/>
        </w:rPr>
        <w:t xml:space="preserve"> Dispositions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June 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the Company completed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immaterial business disposition within the Commercial &amp; Industrial segment and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immaterial business disposition within the Residential segment, resulting in a c</w:t>
      </w:r>
      <w:r>
        <w:rPr>
          <w:rFonts w:ascii="Times New Roman" w:hAnsi="Times New Roman"/>
          <w:caps w:val="false"/>
          <w:smallCaps w:val="false"/>
          <w:sz w:val="20"/>
          <w:shd w:fill="FFFFFF" w:val="clear"/>
        </w:rPr>
        <w:t>ombined loss of $13,392.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2, 2026, </w:t>
      </w:r>
      <w:r>
        <w:rPr>
          <w:rFonts w:ascii="Times New Roman" w:hAnsi="Times New Roman"/>
          <w:caps w:val="false"/>
          <w:smallCaps w:val="false"/>
          <w:sz w:val="20"/>
        </w:rPr>
        <w:t xml:space="preserve">the Company completed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immaterial business dispositions within the Commercial &amp; Industrial segment, resulting in a combined loss of $4,782.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May 31, 2025,</w:t>
      </w:r>
      <w:r>
        <w:rPr>
          <w:rFonts w:ascii="Times New Roman" w:hAnsi="Times New Roman"/>
          <w:caps w:val="false"/>
          <w:smallCaps w:val="false"/>
          <w:sz w:val="20"/>
        </w:rPr>
        <w:t xml:space="preserve"> the Company completed an immaterial business disposition within the Residential segment (prior to the segment reorganization, the Domestic segment), resulting in a loss of $3,905. Refer to Note </w:t>
      </w:r>
      <w:r>
        <w:rPr>
          <w:rStyle w:val="Emphasis"/>
          <w:rFonts w:ascii="Times New Roman" w:hAnsi="Times New Roman"/>
          <w:caps w:val="false"/>
          <w:smallCaps w:val="false"/>
          <w:sz w:val="20"/>
        </w:rPr>
        <w:t>7,</w:t>
      </w:r>
      <w:r>
        <w:rPr>
          <w:rFonts w:ascii="Times New Roman" w:hAnsi="Times New Roman"/>
          <w:caps w:val="false"/>
          <w:smallCaps w:val="false"/>
          <w:sz w:val="20"/>
        </w:rPr>
        <w:t> "Segment Reporting," for further information regarding the segment reorganization.</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3.</w:t>
      </w:r>
      <w:r>
        <w:rPr>
          <w:rFonts w:ascii="Times New Roman;Times;serif" w:hAnsi="Times New Roman;Times;serif"/>
          <w:b/>
          <w:sz w:val="20"/>
        </w:rPr>
        <w:t>   Redeemable Noncontrolling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entered into a joint venture with E.A. Juffali &amp; Brothers (Juffali) on </w:t>
      </w:r>
      <w:r>
        <w:rPr>
          <w:rStyle w:val="Emphasis"/>
          <w:rFonts w:ascii="Times New Roman" w:hAnsi="Times New Roman"/>
          <w:caps w:val="false"/>
          <w:smallCaps w:val="false"/>
          <w:sz w:val="20"/>
        </w:rPr>
        <w:t xml:space="preserve">August 7, 2025, </w:t>
      </w:r>
      <w:r>
        <w:rPr>
          <w:rFonts w:ascii="Times New Roman" w:hAnsi="Times New Roman"/>
          <w:caps w:val="false"/>
          <w:smallCaps w:val="false"/>
          <w:sz w:val="20"/>
        </w:rPr>
        <w:t xml:space="preserve">based in Bahrain, aiming to expand its footprint in the Middle East region. The joint venture, operating under the name Generac Juffali Generators WLL, will function as a distinct legal entity with ownership interests divided between the Company and Juffali at 51% and 49%, respectively. As the Company holds a controlling financial interest in the joint venture's operating entity, it will consolidate the entity. During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Juffali funded 49% of the total capital contributed to the new legal entity. The issuance date fair value of the 49% noncontrolling interest was $979 and was recorded in the condensed consolidated balance sheets as a redeemable noncontrolling interest. This classification is based on Juffali’s right to require redemption of its interest in Generac Juffali Generators under specific triggering circumstances outlined in the joint venture agreement. The redeemable noncontrolling interest is initially recognized at its issuance date fair value and is adjusted each reporting period to reflect the noncontrolling interests’ share of comprehensive income. If the redeemable noncontrolling interest becomes currently redeemable or is probable of becoming currently redeemable, it is then adjusted to the greater of the redemption value or the carrying value, with any redemption value adjustments being recorded directly to retained earnings in the consolidated balance sheets.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presents the changes in the redeemable noncontrolling interest for Generac Jufalli Generators:</w:t>
      </w:r>
    </w:p>
    <w:p>
      <w:pPr>
        <w:pStyle w:val="TextBody"/>
        <w:bidi w:val="0"/>
        <w:spacing w:before="0" w:after="0"/>
        <w:ind w:left="0" w:right="0" w:hanging="0"/>
        <w:jc w:val="both"/>
        <w:rPr>
          <w:caps w:val="false"/>
          <w:smallCaps w:val="false"/>
        </w:rPr>
      </w:pPr>
      <w:r>
        <w:rPr>
          <w:caps w:val="false"/>
          <w:smallCaps w:val="false"/>
        </w:rPr>
        <w:t> </w:t>
      </w:r>
    </w:p>
    <w:tbl>
      <w:tblPr>
        <w:tblW w:w="7629" w:type="dxa"/>
        <w:jc w:val="left"/>
        <w:tblInd w:w="0" w:type="dxa"/>
        <w:tblLayout w:type="fixed"/>
        <w:tblCellMar>
          <w:top w:w="0" w:type="dxa"/>
          <w:left w:w="0" w:type="dxa"/>
          <w:bottom w:w="0" w:type="dxa"/>
          <w:right w:w="0" w:type="dxa"/>
        </w:tblCellMar>
      </w:tblPr>
      <w:tblGrid>
        <w:gridCol w:w="2540"/>
        <w:gridCol w:w="60"/>
        <w:gridCol w:w="602"/>
        <w:gridCol w:w="1907"/>
        <w:gridCol w:w="80"/>
        <w:gridCol w:w="60"/>
        <w:gridCol w:w="552"/>
        <w:gridCol w:w="1748"/>
        <w:gridCol w:w="80"/>
      </w:tblGrid>
      <w:tr>
        <w:trPr/>
        <w:tc>
          <w:tcPr>
            <w:tcW w:w="2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6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w:t>
            </w:r>
          </w:p>
        </w:tc>
        <w:tc>
          <w:tcPr>
            <w:tcW w:w="80"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ind w:left="0" w:right="0" w:hanging="0"/>
              <w:jc w:val="left"/>
              <w:rPr/>
            </w:pPr>
            <w:r>
              <w:rPr/>
              <w:t> </w:t>
            </w:r>
          </w:p>
        </w:tc>
        <w:tc>
          <w:tcPr>
            <w:tcW w:w="1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ind w:left="0" w:right="0" w:hanging="0"/>
              <w:jc w:val="left"/>
              <w:rPr/>
            </w:pPr>
            <w:r>
              <w:rPr/>
              <w:t> </w:t>
            </w:r>
          </w:p>
        </w:tc>
        <w:tc>
          <w:tcPr>
            <w:tcW w:w="17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w:t>
            </w:r>
          </w:p>
        </w:tc>
        <w:tc>
          <w:tcPr>
            <w:tcW w:w="60" w:type="dxa"/>
            <w:tcBorders/>
            <w:shd w:fill="CCEEFF" w:val="clear"/>
            <w:vAlign w:val="center"/>
          </w:tcPr>
          <w:p>
            <w:pPr>
              <w:pStyle w:val="TableContents"/>
              <w:bidi w:val="0"/>
              <w:spacing w:before="0" w:after="283"/>
              <w:jc w:val="left"/>
              <w:rPr/>
            </w:pPr>
            <w:r>
              <w:rPr/>
              <w:t> </w:t>
            </w:r>
          </w:p>
        </w:tc>
        <w:tc>
          <w:tcPr>
            <w:tcW w:w="6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9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5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7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6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4.</w:t>
      </w:r>
      <w:r>
        <w:rPr>
          <w:rFonts w:ascii="Times New Roman;Times;serif" w:hAnsi="Times New Roman;Times;serif"/>
          <w:b/>
          <w:sz w:val="20"/>
        </w:rPr>
        <w:t>   Derivative Instruments</w:t>
      </w:r>
      <w:r>
        <w:rPr>
          <w:rFonts w:ascii="Times New Roman;Times;serif" w:hAnsi="Times New Roman;Times;serif"/>
          <w:sz w:val="20"/>
        </w:rPr>
        <w:t xml:space="preserve"> </w:t>
      </w:r>
      <w:r>
        <w:rPr>
          <w:rFonts w:ascii="Times New Roman;Times;serif" w:hAnsi="Times New Roman;Times;serif"/>
          <w:b/>
          <w:sz w:val="20"/>
        </w:rPr>
        <w:t>and Hedging Activities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color w:val="000000"/>
          <w:sz w:val="20"/>
        </w:rPr>
        <w:t xml:space="preserve">The Company records all derivatives in accordance with ASC </w:t>
      </w:r>
      <w:r>
        <w:rPr>
          <w:rStyle w:val="Emphasis"/>
          <w:rFonts w:ascii="Times New Roman;Times;serif" w:hAnsi="Times New Roman;Times;serif"/>
          <w:color w:val="000000"/>
          <w:sz w:val="20"/>
        </w:rPr>
        <w:t>815,</w:t>
      </w:r>
      <w:r>
        <w:rPr>
          <w:rFonts w:ascii="Times New Roman;Times;serif" w:hAnsi="Times New Roman;Times;serif"/>
          <w:color w:val="000000"/>
          <w:sz w:val="20"/>
        </w:rPr>
        <w:t xml:space="preserve"> </w:t>
      </w:r>
      <w:r>
        <w:rPr>
          <w:rFonts w:ascii="Times New Roman;Times;serif" w:hAnsi="Times New Roman;Times;serif"/>
          <w:i/>
          <w:color w:val="000000"/>
          <w:sz w:val="20"/>
        </w:rPr>
        <w:t>Derivatives and Hedging,</w:t>
      </w:r>
      <w:r>
        <w:rPr>
          <w:rFonts w:ascii="Times New Roman;Times;serif" w:hAnsi="Times New Roman;Times;serif"/>
          <w:color w:val="000000"/>
          <w:sz w:val="20"/>
        </w:rPr>
        <w:t xml:space="preserve"> which requires derivative instruments to be reported in the condensed consolidated balance sheets at fair value and establishes criteria for designation and effectiveness of hedging relationships. The Company is exposed to market risk such as changes in commodity prices, foreign currencies, and interest rates. The Company does not hold or issue derivative financial instruments for trading purposes. </w:t>
      </w:r>
    </w:p>
    <w:p>
      <w:pPr>
        <w:pStyle w:val="TextBody"/>
        <w:bidi w:val="0"/>
        <w:spacing w:before="0" w:after="0"/>
        <w:ind w:left="0" w:right="0" w:hanging="0"/>
        <w:jc w:val="both"/>
        <w:rPr>
          <w:color w:val="000000"/>
        </w:rPr>
      </w:pPr>
      <w:r>
        <w:rPr>
          <w:color w:val="000000"/>
        </w:rPr>
        <w:t> </w:t>
      </w:r>
    </w:p>
    <w:p>
      <w:pPr>
        <w:pStyle w:val="TextBody"/>
        <w:bidi w:val="0"/>
        <w:spacing w:before="0" w:after="0"/>
        <w:ind w:left="0" w:right="0" w:hanging="0"/>
        <w:jc w:val="both"/>
        <w:rPr/>
      </w:pPr>
      <w:r>
        <w:rPr>
          <w:rFonts w:ascii="Times New Roman;Times;serif" w:hAnsi="Times New Roman;Times;serif"/>
          <w:color w:val="000000"/>
          <w:sz w:val="20"/>
        </w:rPr>
        <w:t xml:space="preserve">The Company periodically utilizes commodity derivatives and foreign currency forward purchase and sales contracts in the normal course of business. Because these contracts do </w:t>
      </w:r>
      <w:r>
        <w:rPr>
          <w:rStyle w:val="Emphasis"/>
          <w:rFonts w:ascii="Times New Roman;Times;serif" w:hAnsi="Times New Roman;Times;serif"/>
          <w:color w:val="000000"/>
          <w:sz w:val="20"/>
        </w:rPr>
        <w:t>not</w:t>
      </w:r>
      <w:r>
        <w:rPr>
          <w:rFonts w:ascii="Times New Roman;Times;serif" w:hAnsi="Times New Roman;Times;serif"/>
          <w:color w:val="000000"/>
          <w:sz w:val="20"/>
        </w:rPr>
        <w:t xml:space="preserve"> qualify for hedge accounting, the related gains and losses are recorded in the Company’s condensed consolidated statements of comprehensive income. The commodity and foreign currency forward contract gains and losses are </w:t>
      </w:r>
      <w:r>
        <w:rPr>
          <w:rStyle w:val="Emphasis"/>
          <w:rFonts w:ascii="Times New Roman;Times;serif" w:hAnsi="Times New Roman;Times;serif"/>
          <w:color w:val="000000"/>
          <w:sz w:val="20"/>
        </w:rPr>
        <w:t>not</w:t>
      </w:r>
      <w:r>
        <w:rPr>
          <w:rFonts w:ascii="Times New Roman;Times;serif" w:hAnsi="Times New Roman;Times;serif"/>
          <w:color w:val="000000"/>
          <w:sz w:val="20"/>
        </w:rPr>
        <w:t xml:space="preserve"> material to the Company’s condensed consolidated financial statements for the periods presented.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color w:val="000000"/>
          <w:sz w:val="20"/>
        </w:rPr>
      </w:pPr>
      <w:r>
        <w:rPr>
          <w:rFonts w:ascii="Times New Roman;Times;serif" w:hAnsi="Times New Roman;Times;serif"/>
          <w:color w:val="000000"/>
          <w:sz w:val="20"/>
        </w:rPr>
        <w:t>Additionally, the Company maintains interest rate swap agreements and owns stock warrants described in more detail below.</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Interest Rate Swaps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color w:val="000000"/>
          <w:sz w:val="20"/>
        </w:rPr>
        <w:t xml:space="preserve">In </w:t>
      </w:r>
      <w:r>
        <w:rPr>
          <w:rStyle w:val="Emphasis"/>
          <w:rFonts w:ascii="Times New Roman;Times;serif" w:hAnsi="Times New Roman;Times;serif"/>
          <w:color w:val="000000"/>
          <w:sz w:val="20"/>
        </w:rPr>
        <w:t xml:space="preserve">March 2020, </w:t>
      </w:r>
      <w:r>
        <w:rPr>
          <w:rFonts w:ascii="Times New Roman;Times;serif" w:hAnsi="Times New Roman;Times;serif"/>
          <w:color w:val="000000"/>
          <w:sz w:val="20"/>
        </w:rPr>
        <w:t xml:space="preserve">the Company entered into three interest rate swap agreements, which were still outstanding as of </w:t>
      </w:r>
      <w:r>
        <w:rPr>
          <w:rStyle w:val="Emphasis"/>
          <w:rFonts w:ascii="Times New Roman;Times;serif" w:hAnsi="Times New Roman;Times;serif"/>
          <w:sz w:val="20"/>
        </w:rPr>
        <w:t>June 30, 2026</w:t>
      </w:r>
      <w:r>
        <w:rPr>
          <w:rFonts w:ascii="Times New Roman;Times;serif" w:hAnsi="Times New Roman;Times;serif"/>
          <w:color w:val="000000"/>
          <w:sz w:val="20"/>
        </w:rPr>
        <w:t xml:space="preserve">. In </w:t>
      </w:r>
      <w:r>
        <w:rPr>
          <w:rStyle w:val="Emphasis"/>
          <w:rFonts w:ascii="Times New Roman;Times;serif" w:hAnsi="Times New Roman;Times;serif"/>
          <w:color w:val="000000"/>
          <w:sz w:val="20"/>
        </w:rPr>
        <w:t xml:space="preserve">July 2025, </w:t>
      </w:r>
      <w:r>
        <w:rPr>
          <w:rFonts w:ascii="Times New Roman;Times;serif" w:hAnsi="Times New Roman;Times;serif"/>
          <w:color w:val="000000"/>
          <w:sz w:val="20"/>
        </w:rPr>
        <w:t xml:space="preserve">in conjunction with the amendments to the Company’s credit agreements discussed further in Note </w:t>
      </w:r>
      <w:r>
        <w:rPr>
          <w:rStyle w:val="Emphasis"/>
          <w:rFonts w:ascii="Times New Roman;Times;serif" w:hAnsi="Times New Roman;Times;serif"/>
          <w:color w:val="000000"/>
          <w:sz w:val="20"/>
        </w:rPr>
        <w:t>12,</w:t>
      </w:r>
      <w:r>
        <w:rPr>
          <w:rFonts w:ascii="Times New Roman;Times;serif" w:hAnsi="Times New Roman;Times;serif"/>
          <w:color w:val="000000"/>
          <w:sz w:val="20"/>
        </w:rPr>
        <w:t xml:space="preserve"> “Credit Agreements”, the Company modified its interest rate swaps to match the underlying debt and reconfirmed hedge effectiveness. The Company formally documented all relationships between interest rate hedging instruments and the related hedged items, as well as its risk-management objectives and strategies for undertaking various hedge transactions. These interest rate swap agreements qualify as cash flow hedges and therefore, the effective portions of their gains or losses are reported as a component of accumulated other comprehensive income (loss) in the condensed consolidated balance sheets.</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color w:val="000000"/>
          <w:sz w:val="20"/>
        </w:rPr>
        <w:t>The amount of after-tax u</w:t>
      </w:r>
      <w:r>
        <w:rPr>
          <w:rFonts w:ascii="Times New Roman;Times;serif" w:hAnsi="Times New Roman;Times;serif"/>
          <w:color w:val="000000"/>
          <w:sz w:val="20"/>
          <w:shd w:fill="FFFFFF" w:val="clear"/>
        </w:rPr>
        <w:t>nrealize</w:t>
      </w:r>
      <w:r>
        <w:rPr>
          <w:rFonts w:ascii="Times New Roman;Times;serif" w:hAnsi="Times New Roman;Times;serif"/>
          <w:sz w:val="20"/>
        </w:rPr>
        <w:t>d losses re</w:t>
      </w:r>
      <w:r>
        <w:rPr>
          <w:rFonts w:ascii="Times New Roman;Times;serif" w:hAnsi="Times New Roman;Times;serif"/>
          <w:color w:val="000000"/>
          <w:sz w:val="20"/>
          <w:shd w:fill="FFFFFF" w:val="clear"/>
        </w:rPr>
        <w:t>cognized in accumulated other comprehensive income (loss) for t</w:t>
      </w:r>
      <w:r>
        <w:rPr>
          <w:rFonts w:ascii="Times New Roman;Times;serif" w:hAnsi="Times New Roman;Times;serif"/>
          <w:color w:val="000000"/>
          <w:sz w:val="20"/>
        </w:rPr>
        <w:t xml:space="preserve">he </w:t>
      </w:r>
      <w:r>
        <w:rPr>
          <w:rStyle w:val="Emphasis"/>
          <w:rFonts w:ascii="Times New Roman;Times;serif" w:hAnsi="Times New Roman;Times;serif"/>
          <w:color w:val="000000"/>
          <w:sz w:val="20"/>
        </w:rPr>
        <w:t>three</w:t>
      </w:r>
      <w:r>
        <w:rPr>
          <w:rFonts w:ascii="Times New Roman;Times;serif" w:hAnsi="Times New Roman;Times;serif"/>
          <w:color w:val="000000"/>
          <w:sz w:val="20"/>
        </w:rPr>
        <w:t xml:space="preserve"> and </w:t>
      </w:r>
      <w:r>
        <w:rPr>
          <w:rStyle w:val="Emphasis"/>
          <w:rFonts w:ascii="Times New Roman;Times;serif" w:hAnsi="Times New Roman;Times;serif"/>
          <w:color w:val="000000"/>
          <w:sz w:val="20"/>
        </w:rPr>
        <w:t>six</w:t>
      </w:r>
      <w:r>
        <w:rPr>
          <w:rFonts w:ascii="Times New Roman;Times;serif" w:hAnsi="Times New Roman;Times;serif"/>
          <w:color w:val="000000"/>
          <w:sz w:val="20"/>
        </w:rPr>
        <w:t xml:space="preserve"> months ended </w:t>
      </w:r>
      <w:r>
        <w:rPr>
          <w:rStyle w:val="Emphasis"/>
          <w:rFonts w:ascii="Times New Roman;Times;serif" w:hAnsi="Times New Roman;Times;serif"/>
          <w:color w:val="000000"/>
          <w:sz w:val="20"/>
        </w:rPr>
        <w:t>June 30, 2026 </w:t>
      </w:r>
      <w:r>
        <w:rPr>
          <w:rFonts w:ascii="Times New Roman;Times;serif" w:hAnsi="Times New Roman;Times;serif"/>
          <w:color w:val="000000"/>
          <w:sz w:val="20"/>
          <w:shd w:fill="FFFFFF" w:val="clear"/>
        </w:rPr>
        <w:t>were </w:t>
      </w:r>
      <w:r>
        <w:rPr>
          <w:rFonts w:ascii="Times New Roman;Times;serif" w:hAnsi="Times New Roman;Times;serif"/>
          <w:color w:val="000000"/>
          <w:sz w:val="20"/>
        </w:rPr>
        <w:t>$2,193 </w:t>
      </w:r>
      <w:r>
        <w:rPr>
          <w:rFonts w:ascii="Times New Roman;Times;serif" w:hAnsi="Times New Roman;Times;serif"/>
          <w:color w:val="000000"/>
          <w:sz w:val="20"/>
          <w:shd w:fill="FFFFFF" w:val="clear"/>
        </w:rPr>
        <w:t>and</w:t>
      </w:r>
      <w:r>
        <w:rPr>
          <w:rFonts w:ascii="Times New Roman;Times;serif" w:hAnsi="Times New Roman;Times;serif"/>
          <w:color w:val="000000"/>
          <w:sz w:val="20"/>
        </w:rPr>
        <w:t xml:space="preserve"> $3,708,</w:t>
      </w:r>
      <w:r>
        <w:rPr>
          <w:rFonts w:ascii="Times New Roman;Times;serif" w:hAnsi="Times New Roman;Times;serif"/>
          <w:color w:val="000000"/>
          <w:sz w:val="20"/>
          <w:shd w:fill="FFFFFF" w:val="clear"/>
        </w:rPr>
        <w:t xml:space="preserve"> respectively, and for the </w:t>
      </w:r>
      <w:r>
        <w:rPr>
          <w:rStyle w:val="Emphasis"/>
          <w:rFonts w:ascii="Times New Roman;Times;serif" w:hAnsi="Times New Roman;Times;serif"/>
          <w:color w:val="000000"/>
          <w:sz w:val="20"/>
        </w:rPr>
        <w:t>three</w:t>
      </w:r>
      <w:r>
        <w:rPr>
          <w:rFonts w:ascii="Times New Roman;Times;serif" w:hAnsi="Times New Roman;Times;serif"/>
          <w:color w:val="000000"/>
          <w:sz w:val="20"/>
        </w:rPr>
        <w:t xml:space="preserve"> and </w:t>
      </w:r>
      <w:r>
        <w:rPr>
          <w:rStyle w:val="Emphasis"/>
          <w:rFonts w:ascii="Times New Roman;Times;serif" w:hAnsi="Times New Roman;Times;serif"/>
          <w:color w:val="000000"/>
          <w:sz w:val="20"/>
        </w:rPr>
        <w:t>six</w:t>
      </w:r>
      <w:r>
        <w:rPr>
          <w:rFonts w:ascii="Times New Roman;Times;serif" w:hAnsi="Times New Roman;Times;serif"/>
          <w:color w:val="000000"/>
          <w:sz w:val="20"/>
        </w:rPr>
        <w:t xml:space="preserve"> months ended </w:t>
      </w:r>
      <w:r>
        <w:rPr>
          <w:rStyle w:val="Emphasis"/>
          <w:rFonts w:ascii="Times New Roman;Times;serif" w:hAnsi="Times New Roman;Times;serif"/>
          <w:color w:val="000000"/>
          <w:sz w:val="20"/>
        </w:rPr>
        <w:t>June 30, 2025 </w:t>
      </w:r>
      <w:r>
        <w:rPr>
          <w:rFonts w:ascii="Times New Roman;Times;serif" w:hAnsi="Times New Roman;Times;serif"/>
          <w:color w:val="000000"/>
          <w:sz w:val="20"/>
          <w:shd w:fill="FFFFFF" w:val="clear"/>
        </w:rPr>
        <w:t>were </w:t>
      </w:r>
      <w:r>
        <w:rPr>
          <w:rFonts w:ascii="Times New Roman;Times;serif" w:hAnsi="Times New Roman;Times;serif"/>
          <w:color w:val="000000"/>
          <w:sz w:val="20"/>
        </w:rPr>
        <w:t>$3,090 </w:t>
      </w:r>
      <w:r>
        <w:rPr>
          <w:rFonts w:ascii="Times New Roman;Times;serif" w:hAnsi="Times New Roman;Times;serif"/>
          <w:color w:val="000000"/>
          <w:sz w:val="20"/>
          <w:shd w:fill="FFFFFF" w:val="clear"/>
        </w:rPr>
        <w:t xml:space="preserve">and $7,403, respectively. </w:t>
      </w:r>
      <w:r>
        <w:rPr>
          <w:rFonts w:ascii="Times New Roman;Times;serif" w:hAnsi="Times New Roman;Times;serif"/>
          <w:color w:val="000000"/>
          <w:sz w:val="20"/>
        </w:rPr>
        <w:t>The cash flows of the swaps are recognized as adjustments to interest expense each period. The ineffective portions of the derivatives’ changes in fair value, if any, are immediately recognized in earnings.</w:t>
      </w:r>
    </w:p>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Stock Warrants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Company entered into a $30,000 agreement with Wallbox N.V. (Wallbox) to purchase 5% of its Class A common stock and acquire stock warrants, the latter of which provide the right to acquire incremental Class A common stock outstanding of Wallbox upon exercise at a fixed price with anti-dilution protections for a period of time. During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and the first, second, and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quarters of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received additional warrants under the anti-dilution protection rights in connection with additional rounds of funding performed by Wallbox. In accordance with U.S. GAAP, the Company is required to adjust the carrying value of these warrants to market value on a quarterly basis. Gains and losses attributable to the stock warrants are recognized in other expense, net in the condensed consolidated statements of comprehensive income.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color w:val="000000"/>
          <w:sz w:val="20"/>
        </w:rPr>
        <w:t>The gain (loss) attributable to the stock warrants was $2,962 and $1,327 </w:t>
      </w:r>
      <w:r>
        <w:rPr>
          <w:rFonts w:ascii="Times New Roman;Times;serif" w:hAnsi="Times New Roman;Times;serif"/>
          <w:sz w:val="20"/>
        </w:rPr>
        <w:t xml:space="preserve">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 xml:space="preserve">June 30, 2026, </w:t>
      </w:r>
      <w:r>
        <w:rPr>
          <w:rFonts w:ascii="Times New Roman;Times;serif" w:hAnsi="Times New Roman;Times;serif"/>
          <w:sz w:val="20"/>
        </w:rPr>
        <w:t xml:space="preserve">respectively, and $(1,215) and $(4,571)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 xml:space="preserve">June 30, 2025, </w:t>
      </w:r>
      <w:r>
        <w:rPr>
          <w:rFonts w:ascii="Times New Roman;Times;serif" w:hAnsi="Times New Roman;Times;serif"/>
          <w:sz w:val="20"/>
        </w:rPr>
        <w:t>respectively.</w:t>
      </w:r>
    </w:p>
    <w:p>
      <w:pPr>
        <w:pStyle w:val="TextBody"/>
        <w:bidi w:val="0"/>
        <w:spacing w:before="0" w:after="0"/>
        <w:ind w:left="0" w:right="0" w:hanging="0"/>
        <w:jc w:val="both"/>
        <w:rPr>
          <w:color w:val="000000"/>
        </w:rPr>
      </w:pPr>
      <w:r>
        <w:rPr>
          <w:color w:val="000000"/>
        </w:rPr>
        <w:t> </w:t>
      </w:r>
    </w:p>
    <w:p>
      <w:pPr>
        <w:pStyle w:val="TextBody"/>
        <w:bidi w:val="0"/>
        <w:spacing w:before="0" w:after="0"/>
        <w:ind w:left="0" w:right="0" w:hanging="0"/>
        <w:jc w:val="both"/>
        <w:rPr>
          <w:rFonts w:ascii="Times New Roman;Times;serif" w:hAnsi="Times New Roman;Times;serif"/>
          <w:color w:val="000000"/>
          <w:sz w:val="20"/>
        </w:rPr>
      </w:pPr>
      <w:r>
        <w:rPr>
          <w:rFonts w:ascii="Times New Roman;Times;serif" w:hAnsi="Times New Roman;Times;serif"/>
          <w:b/>
          <w:i/>
          <w:color w:val="000000"/>
          <w:sz w:val="20"/>
        </w:rPr>
        <w:t>Fair Value</w:t>
      </w:r>
      <w:r>
        <w:rPr>
          <w:rFonts w:ascii="Times New Roman;Times;serif" w:hAnsi="Times New Roman;Times;serif"/>
          <w:color w:val="000000"/>
          <w:sz w:val="20"/>
        </w:rPr>
        <w: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following table presents the fair value of all the Company’s interest rate swaps and stock warrants. </w:t>
      </w:r>
    </w:p>
    <w:p>
      <w:pPr>
        <w:pStyle w:val="TextBody"/>
        <w:bidi w:val="0"/>
        <w:spacing w:before="0" w:after="0"/>
        <w:ind w:left="0" w:right="0" w:hanging="0"/>
        <w:jc w:val="both"/>
        <w:rPr/>
      </w:pPr>
      <w:r>
        <w:rPr/>
        <w:t> </w:t>
      </w:r>
    </w:p>
    <w:tbl>
      <w:tblPr>
        <w:tblW w:w="4558" w:type="dxa"/>
        <w:jc w:val="left"/>
        <w:tblInd w:w="0" w:type="dxa"/>
        <w:tblLayout w:type="fixed"/>
        <w:tblCellMar>
          <w:top w:w="0" w:type="dxa"/>
          <w:left w:w="0" w:type="dxa"/>
          <w:bottom w:w="0" w:type="dxa"/>
          <w:right w:w="0" w:type="dxa"/>
        </w:tblCellMar>
      </w:tblPr>
      <w:tblGrid>
        <w:gridCol w:w="1490"/>
        <w:gridCol w:w="60"/>
        <w:gridCol w:w="243"/>
        <w:gridCol w:w="946"/>
        <w:gridCol w:w="60"/>
        <w:gridCol w:w="60"/>
        <w:gridCol w:w="284"/>
        <w:gridCol w:w="1355"/>
        <w:gridCol w:w="60"/>
      </w:tblGrid>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December 31, 2025</w:t>
            </w:r>
          </w:p>
        </w:tc>
        <w:tc>
          <w:tcPr>
            <w:tcW w:w="60" w:type="dxa"/>
            <w:tcBorders/>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0"/>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rate swaps</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355" w:type="dxa"/>
            <w:tcBorders/>
            <w:shd w:fill="CCEE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11,272</w:t>
            </w:r>
          </w:p>
        </w:tc>
        <w:tc>
          <w:tcPr>
            <w:tcW w:w="60" w:type="dxa"/>
            <w:tcBorders/>
            <w:shd w:fill="CCEEFF"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Stock warrants</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3,408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ind w:left="0" w:right="0" w:hanging="0"/>
              <w:jc w:val="left"/>
              <w:rPr/>
            </w:pPr>
            <w:r>
              <w:rPr/>
              <w:t> </w:t>
            </w:r>
          </w:p>
        </w:tc>
        <w:tc>
          <w:tcPr>
            <w:tcW w:w="1355" w:type="dxa"/>
            <w:tcBorders/>
            <w:shd w:fill="FFFF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2,080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The fair values of the interest rate swaps and stock warrants are included in prepaid expenses and other current assets in the condensed consolidated balance sheets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Excluding the impact of credit risk, the fair value of the interest rate swaps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is an asset of $6,540 and $11,604, respectively, which represents the amount the Company would receive to exit all of the agreements on those dates.</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5.</w:t>
      </w:r>
      <w:r>
        <w:rPr>
          <w:rFonts w:ascii="Times New Roman;Times;serif" w:hAnsi="Times New Roman;Times;serif"/>
          <w:b/>
          <w:sz w:val="20"/>
        </w:rPr>
        <w:t>   Fair Value</w:t>
      </w:r>
      <w:r>
        <w:rPr>
          <w:rFonts w:ascii="Times New Roman;Times;serif" w:hAnsi="Times New Roman;Times;serif"/>
          <w:sz w:val="20"/>
        </w:rPr>
        <w:t xml:space="preserve"> </w:t>
      </w:r>
      <w:r>
        <w:rPr>
          <w:rFonts w:ascii="Times New Roman;Times;serif" w:hAnsi="Times New Roman;Times;serif"/>
          <w:b/>
          <w:sz w:val="20"/>
        </w:rPr>
        <w:t>Measurements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ASC </w:t>
      </w:r>
      <w:r>
        <w:rPr>
          <w:rStyle w:val="Emphasis"/>
          <w:rFonts w:ascii="Times New Roman;Times;serif" w:hAnsi="Times New Roman;Times;serif"/>
          <w:sz w:val="20"/>
        </w:rPr>
        <w:t>820</w:t>
      </w:r>
      <w:r>
        <w:rPr>
          <w:rFonts w:ascii="Times New Roman;Times;serif" w:hAnsi="Times New Roman;Times;serif"/>
          <w:sz w:val="20"/>
        </w:rPr>
        <w:t>-</w:t>
      </w:r>
      <w:r>
        <w:rPr>
          <w:rStyle w:val="Emphasis"/>
          <w:rFonts w:ascii="Times New Roman;Times;serif" w:hAnsi="Times New Roman;Times;serif"/>
          <w:sz w:val="20"/>
        </w:rPr>
        <w:t>10,</w:t>
      </w:r>
      <w:r>
        <w:rPr>
          <w:rFonts w:ascii="Times New Roman;Times;serif" w:hAnsi="Times New Roman;Times;serif"/>
          <w:sz w:val="20"/>
        </w:rPr>
        <w:t xml:space="preserve"> </w:t>
      </w:r>
      <w:r>
        <w:rPr>
          <w:rFonts w:ascii="Times New Roman;Times;serif" w:hAnsi="Times New Roman;Times;serif"/>
          <w:i/>
          <w:sz w:val="20"/>
        </w:rPr>
        <w:t>Fair Value Measurement,</w:t>
      </w:r>
      <w:r>
        <w:rPr>
          <w:rFonts w:ascii="Times New Roman;Times;serif" w:hAnsi="Times New Roman;Times;serif"/>
          <w:sz w:val="20"/>
        </w:rPr>
        <w:t xml:space="preserve"> defines fair value, establishes a consistent framework for measuring fair value, and expands disclosure for each major asset and liability category measured at fair value on either a recurring basis or nonrecurring basis. ASC </w:t>
      </w:r>
      <w:r>
        <w:rPr>
          <w:rStyle w:val="Emphasis"/>
          <w:rFonts w:ascii="Times New Roman;Times;serif" w:hAnsi="Times New Roman;Times;serif"/>
          <w:sz w:val="20"/>
        </w:rPr>
        <w:t>820</w:t>
      </w:r>
      <w:r>
        <w:rPr>
          <w:rFonts w:ascii="Times New Roman;Times;serif" w:hAnsi="Times New Roman;Times;serif"/>
          <w:sz w:val="20"/>
        </w:rPr>
        <w:t>-</w:t>
      </w:r>
      <w:r>
        <w:rPr>
          <w:rStyle w:val="Emphasis"/>
          <w:rFonts w:ascii="Times New Roman;Times;serif" w:hAnsi="Times New Roman;Times;serif"/>
          <w:sz w:val="20"/>
        </w:rPr>
        <w:t>10</w:t>
      </w:r>
      <w:r>
        <w:rPr>
          <w:rFonts w:ascii="Times New Roman;Times;serif" w:hAnsi="Times New Roman;Times;serif"/>
          <w:sz w:val="20"/>
        </w:rPr>
        <w:t xml:space="preserve"> clarifies that fair value is an exit price, representing the amount that would be received in the sale of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pronouncement establishes a </w:t>
      </w:r>
      <w:r>
        <w:rPr>
          <w:rStyle w:val="Emphasis"/>
          <w:rFonts w:ascii="Times New Roman;Times;serif" w:hAnsi="Times New Roman;Times;serif"/>
          <w:sz w:val="20"/>
        </w:rPr>
        <w:t>three</w:t>
      </w:r>
      <w:r>
        <w:rPr>
          <w:rFonts w:ascii="Times New Roman;Times;serif" w:hAnsi="Times New Roman;Times;serif"/>
          <w:sz w:val="20"/>
        </w:rPr>
        <w:t xml:space="preserve">-tier fair value hierarchy, which prioritizes the inputs used in measuring fair value as follows: (Level </w:t>
      </w:r>
      <w:r>
        <w:rPr>
          <w:rStyle w:val="Emphasis"/>
          <w:rFonts w:ascii="Times New Roman;Times;serif" w:hAnsi="Times New Roman;Times;serif"/>
          <w:sz w:val="20"/>
        </w:rPr>
        <w:t>1</w:t>
      </w:r>
      <w:r>
        <w:rPr>
          <w:rFonts w:ascii="Times New Roman;Times;serif" w:hAnsi="Times New Roman;Times;serif"/>
          <w:sz w:val="20"/>
        </w:rPr>
        <w:t xml:space="preserve">) observable inputs such as quoted prices in active markets; (Level </w:t>
      </w:r>
      <w:r>
        <w:rPr>
          <w:rStyle w:val="Emphasis"/>
          <w:rFonts w:ascii="Times New Roman;Times;serif" w:hAnsi="Times New Roman;Times;serif"/>
          <w:sz w:val="20"/>
        </w:rPr>
        <w:t>2</w:t>
      </w:r>
      <w:r>
        <w:rPr>
          <w:rFonts w:ascii="Times New Roman;Times;serif" w:hAnsi="Times New Roman;Times;serif"/>
          <w:sz w:val="20"/>
        </w:rPr>
        <w:t xml:space="preserve">) inputs, other than the quoted prices in active markets, that are observable either directly or indirectly; and (Level </w:t>
      </w:r>
      <w:r>
        <w:rPr>
          <w:rStyle w:val="Emphasis"/>
          <w:rFonts w:ascii="Times New Roman;Times;serif" w:hAnsi="Times New Roman;Times;serif"/>
          <w:sz w:val="20"/>
        </w:rPr>
        <w:t>3</w:t>
      </w:r>
      <w:r>
        <w:rPr>
          <w:rFonts w:ascii="Times New Roman;Times;serif" w:hAnsi="Times New Roman;Times;serif"/>
          <w:sz w:val="20"/>
        </w:rPr>
        <w:t xml:space="preserve">) unobservable inputs in which there is little or </w:t>
      </w:r>
      <w:r>
        <w:rPr>
          <w:rStyle w:val="Emphasis"/>
          <w:rFonts w:ascii="Times New Roman;Times;serif" w:hAnsi="Times New Roman;Times;serif"/>
          <w:sz w:val="20"/>
        </w:rPr>
        <w:t>no</w:t>
      </w:r>
      <w:r>
        <w:rPr>
          <w:rFonts w:ascii="Times New Roman;Times;serif" w:hAnsi="Times New Roman;Times;serif"/>
          <w:sz w:val="20"/>
        </w:rPr>
        <w:t xml:space="preserve"> market data, which require the reporting entity to develop its own assumptions.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Company believes the carrying amount of its financial instruments (cash and cash equivalents, accounts receivable, contract assets, accounts payable, accrued liabilities, contract liabilities, short-term borrowings, and revolving facility (Revolving Facility) borrowings), excluding Term Loan borrowings, approximates the fair value of these instruments based on their short-term nature. The fair value of the New Tranche A Term Loan Facility borrowing, which has a net carrying value of $697,122, was $693,000 (Level </w:t>
      </w:r>
      <w:r>
        <w:rPr>
          <w:rStyle w:val="Emphasis"/>
          <w:rFonts w:ascii="Times New Roman;Times;serif" w:hAnsi="Times New Roman;Times;serif"/>
          <w:sz w:val="20"/>
        </w:rPr>
        <w:t>2</w:t>
      </w:r>
      <w:r>
        <w:rPr>
          <w:rFonts w:ascii="Times New Roman;Times;serif" w:hAnsi="Times New Roman;Times;serif"/>
          <w:sz w:val="20"/>
        </w:rPr>
        <w:t xml:space="preserve">) as of </w:t>
      </w:r>
      <w:r>
        <w:rPr>
          <w:rStyle w:val="Emphasis"/>
          <w:rFonts w:ascii="Times New Roman;Times;serif" w:hAnsi="Times New Roman;Times;serif"/>
          <w:sz w:val="20"/>
        </w:rPr>
        <w:t>June 30,</w:t>
      </w:r>
      <w:r>
        <w:rPr>
          <w:rFonts w:ascii="Times New Roman;Times;serif" w:hAnsi="Times New Roman;Times;serif"/>
          <w:sz w:val="20"/>
        </w:rPr>
        <w:t xml:space="preserve"> </w:t>
      </w:r>
      <w:r>
        <w:rPr>
          <w:rStyle w:val="Emphasis"/>
          <w:rFonts w:ascii="Times New Roman;Times;serif" w:hAnsi="Times New Roman;Times;serif"/>
          <w:sz w:val="20"/>
        </w:rPr>
        <w:t>2026.</w:t>
      </w:r>
      <w:r>
        <w:rPr>
          <w:rFonts w:ascii="Times New Roman;Times;serif" w:hAnsi="Times New Roman;Times;serif"/>
          <w:sz w:val="20"/>
        </w:rPr>
        <w:t xml:space="preserve"> The fair value of the Term Loan B Facility borrowing, which has a net carrying value of $488,986, was $493,092 (Level </w:t>
      </w:r>
      <w:r>
        <w:rPr>
          <w:rStyle w:val="Emphasis"/>
          <w:rFonts w:ascii="Times New Roman;Times;serif" w:hAnsi="Times New Roman;Times;serif"/>
          <w:sz w:val="20"/>
        </w:rPr>
        <w:t>2</w:t>
      </w:r>
      <w:r>
        <w:rPr>
          <w:rFonts w:ascii="Times New Roman;Times;serif" w:hAnsi="Times New Roman;Times;serif"/>
          <w:sz w:val="20"/>
        </w:rPr>
        <w:t xml:space="preserve">) as of </w:t>
      </w:r>
      <w:r>
        <w:rPr>
          <w:rStyle w:val="Emphasis"/>
          <w:rFonts w:ascii="Times New Roman;Times;serif" w:hAnsi="Times New Roman;Times;serif"/>
          <w:sz w:val="20"/>
        </w:rPr>
        <w:t>June 30,</w:t>
      </w:r>
      <w:r>
        <w:rPr>
          <w:rFonts w:ascii="Times New Roman;Times;serif" w:hAnsi="Times New Roman;Times;serif"/>
          <w:sz w:val="20"/>
        </w:rPr>
        <w:t xml:space="preserve"> </w:t>
      </w:r>
      <w:r>
        <w:rPr>
          <w:rStyle w:val="Emphasis"/>
          <w:rFonts w:ascii="Times New Roman;Times;serif" w:hAnsi="Times New Roman;Times;serif"/>
          <w:sz w:val="20"/>
        </w:rPr>
        <w:t>2026.</w:t>
      </w:r>
      <w:r>
        <w:rPr>
          <w:rFonts w:ascii="Times New Roman;Times;serif" w:hAnsi="Times New Roman;Times;serif"/>
          <w:sz w:val="20"/>
        </w:rPr>
        <w:t xml:space="preserve"> These Term Loan fair values were calculated based on independent valuations which contain inputs and significant value drivers that are observable. </w:t>
      </w:r>
    </w:p>
    <w:p>
      <w:pPr>
        <w:pStyle w:val="TextBody"/>
        <w:bidi w:val="0"/>
        <w:spacing w:before="0" w:after="0"/>
        <w:ind w:left="0" w:right="0" w:hanging="0"/>
        <w:jc w:val="both"/>
        <w:rPr>
          <w:color w:val="000000"/>
        </w:rPr>
      </w:pPr>
      <w:r>
        <w:rPr>
          <w:color w:val="000000"/>
        </w:rPr>
        <w:t> </w:t>
      </w:r>
    </w:p>
    <w:p>
      <w:pPr>
        <w:pStyle w:val="TextBody"/>
        <w:bidi w:val="0"/>
        <w:spacing w:before="0" w:after="0"/>
        <w:ind w:left="0" w:right="0" w:hanging="0"/>
        <w:jc w:val="both"/>
        <w:rPr/>
      </w:pPr>
      <w:r>
        <w:rPr>
          <w:rFonts w:ascii="Times New Roman;Times;serif" w:hAnsi="Times New Roman;Times;serif"/>
          <w:sz w:val="20"/>
        </w:rPr>
        <w:t xml:space="preserve">For the fair value of the derivatives measured on a recurring basis, refer to the fair value table in Note </w:t>
      </w:r>
      <w:r>
        <w:rPr>
          <w:rStyle w:val="Emphasis"/>
          <w:rFonts w:ascii="Times New Roman;Times;serif" w:hAnsi="Times New Roman;Times;serif"/>
          <w:sz w:val="20"/>
        </w:rPr>
        <w:t>4,</w:t>
      </w:r>
      <w:r>
        <w:rPr>
          <w:rFonts w:ascii="Times New Roman;Times;serif" w:hAnsi="Times New Roman;Times;serif"/>
          <w:sz w:val="20"/>
        </w:rPr>
        <w:t xml:space="preserve"> “Derivative Instruments and Hedging Activities,” to the condensed consolidated financial statements of this Quarterly Report on Form </w:t>
      </w:r>
      <w:r>
        <w:rPr>
          <w:rStyle w:val="Emphasis"/>
          <w:rFonts w:ascii="Times New Roman;Times;serif" w:hAnsi="Times New Roman;Times;serif"/>
          <w:sz w:val="20"/>
        </w:rPr>
        <w:t>10</w:t>
      </w:r>
      <w:r>
        <w:rPr>
          <w:rFonts w:ascii="Times New Roman;Times;serif" w:hAnsi="Times New Roman;Times;serif"/>
          <w:sz w:val="20"/>
        </w:rPr>
        <w:t xml:space="preserve">-Q. The fair value of the Company's interest rate swaps and commodity and foreign currency derivative contracts are classified as Level </w:t>
      </w:r>
      <w:r>
        <w:rPr>
          <w:rStyle w:val="Emphasis"/>
          <w:rFonts w:ascii="Times New Roman;Times;serif" w:hAnsi="Times New Roman;Times;serif"/>
          <w:sz w:val="20"/>
        </w:rPr>
        <w:t>2.</w:t>
      </w:r>
      <w:r>
        <w:rPr>
          <w:rFonts w:ascii="Times New Roman;Times;serif" w:hAnsi="Times New Roman;Times;serif"/>
          <w:sz w:val="20"/>
        </w:rPr>
        <w:t xml:space="preserve"> The valuation techniques used to measure the fair value of these derivative contracts, all of which have counterparties with high credit ratings, were based on quoted market prices or model driven valuations using significant inputs derived from or corroborated by observable market data. The fair value of the derivative contracts discussed above considers the Company’s credit risk in accordance with ASC </w:t>
      </w:r>
      <w:r>
        <w:rPr>
          <w:rStyle w:val="Emphasis"/>
          <w:rFonts w:ascii="Times New Roman;Times;serif" w:hAnsi="Times New Roman;Times;serif"/>
          <w:sz w:val="20"/>
        </w:rPr>
        <w:t>820</w:t>
      </w:r>
      <w:r>
        <w:rPr>
          <w:rFonts w:ascii="Times New Roman;Times;serif" w:hAnsi="Times New Roman;Times;serif"/>
          <w:sz w:val="20"/>
        </w:rPr>
        <w:t>-</w:t>
      </w:r>
      <w:r>
        <w:rPr>
          <w:rStyle w:val="Emphasis"/>
          <w:rFonts w:ascii="Times New Roman;Times;serif" w:hAnsi="Times New Roman;Times;serif"/>
          <w:sz w:val="20"/>
        </w:rPr>
        <w:t>10.</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fair value of the Wallbox stock warrants is classified as Level </w:t>
      </w:r>
      <w:r>
        <w:rPr>
          <w:rStyle w:val="Emphasis"/>
          <w:rFonts w:ascii="Times New Roman;Times;serif" w:hAnsi="Times New Roman;Times;serif"/>
          <w:sz w:val="20"/>
        </w:rPr>
        <w:t>3.</w:t>
      </w:r>
      <w:r>
        <w:rPr>
          <w:rFonts w:ascii="Times New Roman;Times;serif" w:hAnsi="Times New Roman;Times;serif"/>
          <w:sz w:val="20"/>
        </w:rPr>
        <w:t xml:space="preserve"> The fair value of these warrants is measured using a Black Scholes option pricing model, with significant inputs derived from or corroborated by observable market data as well as internal estimates, specifically the time period until exercise. The warrants received in </w:t>
      </w:r>
      <w:r>
        <w:rPr>
          <w:rStyle w:val="Emphasis"/>
          <w:rFonts w:ascii="Times New Roman;Times;serif" w:hAnsi="Times New Roman;Times;serif"/>
          <w:sz w:val="20"/>
        </w:rPr>
        <w:t>2025,</w:t>
      </w:r>
      <w:r>
        <w:rPr>
          <w:rFonts w:ascii="Times New Roman;Times;serif" w:hAnsi="Times New Roman;Times;serif"/>
          <w:sz w:val="20"/>
        </w:rPr>
        <w:t xml:space="preserve"> </w:t>
      </w:r>
      <w:r>
        <w:rPr>
          <w:rStyle w:val="Emphasis"/>
          <w:rFonts w:ascii="Times New Roman;Times;serif" w:hAnsi="Times New Roman;Times;serif"/>
          <w:sz w:val="20"/>
        </w:rPr>
        <w:t>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rPr>
        <w:t xml:space="preserve"> expire at the earlier of when the price per share equals or exceeds $120.00 or in </w:t>
      </w:r>
      <w:r>
        <w:rPr>
          <w:rStyle w:val="Emphasis"/>
          <w:rFonts w:ascii="Times New Roman;Times;serif" w:hAnsi="Times New Roman;Times;serif"/>
          <w:sz w:val="20"/>
        </w:rPr>
        <w:t>2028,</w:t>
      </w:r>
      <w:r>
        <w:rPr>
          <w:rFonts w:ascii="Times New Roman;Times;serif" w:hAnsi="Times New Roman;Times;serif"/>
          <w:sz w:val="20"/>
        </w:rPr>
        <w:t xml:space="preserve"> </w:t>
      </w:r>
      <w:r>
        <w:rPr>
          <w:rStyle w:val="Emphasis"/>
          <w:rFonts w:ascii="Times New Roman;Times;serif" w:hAnsi="Times New Roman;Times;serif"/>
          <w:sz w:val="20"/>
        </w:rPr>
        <w:t>2028,</w:t>
      </w:r>
      <w:r>
        <w:rPr>
          <w:rFonts w:ascii="Times New Roman;Times;serif" w:hAnsi="Times New Roman;Times;serif"/>
          <w:sz w:val="20"/>
        </w:rPr>
        <w:t xml:space="preserve"> and </w:t>
      </w:r>
      <w:r>
        <w:rPr>
          <w:rStyle w:val="Emphasis"/>
          <w:rFonts w:ascii="Times New Roman;Times;serif" w:hAnsi="Times New Roman;Times;serif"/>
          <w:sz w:val="20"/>
        </w:rPr>
        <w:t>2029,</w:t>
      </w:r>
      <w:r>
        <w:rPr>
          <w:rFonts w:ascii="Times New Roman;Times;serif" w:hAnsi="Times New Roman;Times;serif"/>
          <w:sz w:val="20"/>
        </w:rPr>
        <w:t xml:space="preserve"> respectively. The time period until exercise assumption has a significant impact on the fair value of the warrants.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Equity Securities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Equity securities primarily consist of Wallbox Class A common stock (Wallbox Shares). During the </w:t>
      </w:r>
      <w:r>
        <w:rPr>
          <w:rStyle w:val="Emphasis"/>
          <w:rFonts w:ascii="Times New Roman;Times;serif" w:hAnsi="Times New Roman;Times;serif"/>
          <w:sz w:val="20"/>
        </w:rPr>
        <w:t>third</w:t>
      </w:r>
      <w:r>
        <w:rPr>
          <w:rFonts w:ascii="Times New Roman;Times;serif" w:hAnsi="Times New Roman;Times;serif"/>
          <w:sz w:val="20"/>
        </w:rPr>
        <w:t xml:space="preserve"> quarter of </w:t>
      </w:r>
      <w:r>
        <w:rPr>
          <w:rStyle w:val="Emphasis"/>
          <w:rFonts w:ascii="Times New Roman;Times;serif" w:hAnsi="Times New Roman;Times;serif"/>
          <w:sz w:val="20"/>
        </w:rPr>
        <w:t>2024,</w:t>
      </w:r>
      <w:r>
        <w:rPr>
          <w:rFonts w:ascii="Times New Roman;Times;serif" w:hAnsi="Times New Roman;Times;serif"/>
          <w:sz w:val="20"/>
        </w:rPr>
        <w:t xml:space="preserve"> the Company invested an incremental $35,000 in additional Wallbox Shares.</w:t>
      </w:r>
      <w:r>
        <w:rPr>
          <w:rFonts w:ascii="Times New Roman;Times;serif" w:hAnsi="Times New Roman;Times;serif"/>
          <w:sz w:val="20"/>
          <w:shd w:fill="FFFFFF" w:val="clear"/>
        </w:rPr>
        <w:t> </w:t>
      </w:r>
      <w:r>
        <w:rPr>
          <w:rFonts w:ascii="Times New Roman;Times;serif" w:hAnsi="Times New Roman;Times;serif"/>
          <w:sz w:val="20"/>
        </w:rPr>
        <w:t xml:space="preserve">The Wallbox Shares are classified as Level </w:t>
      </w:r>
      <w:r>
        <w:rPr>
          <w:rStyle w:val="Emphasis"/>
          <w:rFonts w:ascii="Times New Roman;Times;serif" w:hAnsi="Times New Roman;Times;serif"/>
          <w:sz w:val="20"/>
        </w:rPr>
        <w:t>1</w:t>
      </w:r>
      <w:r>
        <w:rPr>
          <w:rFonts w:ascii="Times New Roman;Times;serif" w:hAnsi="Times New Roman;Times;serif"/>
          <w:sz w:val="20"/>
        </w:rPr>
        <w:t xml:space="preserve"> in the fair value hierarchy and are recognized at fair value using the closing price of Wallbox common stock quoted on the New York Stock Exchange (NYSE) on the last trading day of the quarter. The Wallbox Shares are included in operating lease and other assets in the condensed consolidated balance sheets. The fair value of the Wallbox Shares was $7,276 and $4,457 as of </w:t>
      </w:r>
      <w:r>
        <w:rPr>
          <w:rStyle w:val="Emphasis"/>
          <w:rFonts w:ascii="Times New Roman;Times;serif" w:hAnsi="Times New Roman;Times;serif"/>
          <w:sz w:val="20"/>
        </w:rPr>
        <w:t>June 30,</w:t>
      </w:r>
      <w:r>
        <w:rPr>
          <w:rFonts w:ascii="Times New Roman;Times;serif" w:hAnsi="Times New Roman;Times;serif"/>
          <w:sz w:val="20"/>
        </w:rPr>
        <w:t xml:space="preserve"> </w:t>
      </w:r>
      <w:r>
        <w:rPr>
          <w:rStyle w:val="Emphasis"/>
          <w:rFonts w:ascii="Times New Roman;Times;serif" w:hAnsi="Times New Roman;Times;serif"/>
          <w:sz w:val="20"/>
        </w:rPr>
        <w:t>2026,</w:t>
      </w:r>
      <w:r>
        <w:rPr>
          <w:rFonts w:ascii="Times New Roman;Times;serif" w:hAnsi="Times New Roman;Times;serif"/>
          <w:sz w:val="20"/>
        </w:rPr>
        <w:t xml:space="preserve"> and </w:t>
      </w:r>
      <w:r>
        <w:rPr>
          <w:rStyle w:val="Emphasis"/>
          <w:rFonts w:ascii="Times New Roman;Times;serif" w:hAnsi="Times New Roman;Times;serif"/>
          <w:sz w:val="20"/>
        </w:rPr>
        <w:t>December 31, 2025, </w:t>
      </w:r>
      <w:r>
        <w:rPr>
          <w:rFonts w:ascii="Times New Roman;Times;serif" w:hAnsi="Times New Roman;Times;serif"/>
          <w:sz w:val="20"/>
        </w:rPr>
        <w:t>respectively. Gains and losses attributable to the Wallbox Shares are recognized in other expense, net in the condensed consolidated statements of comprehensive income. The </w:t>
      </w:r>
      <w:r>
        <w:rPr>
          <w:rFonts w:ascii="Times New Roman;Times;serif" w:hAnsi="Times New Roman;Times;serif"/>
          <w:sz w:val="20"/>
          <w:shd w:fill="FFFFFF" w:val="clear"/>
        </w:rPr>
        <w:t>gain (loss) </w:t>
      </w:r>
      <w:r>
        <w:rPr>
          <w:rFonts w:ascii="Times New Roman;Times;serif" w:hAnsi="Times New Roman;Times;serif"/>
          <w:sz w:val="20"/>
        </w:rPr>
        <w:t xml:space="preserve">recognized on the Wallbox Shares was $2,552 and $2,819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 xml:space="preserve">June 30, 2026, </w:t>
      </w:r>
      <w:r>
        <w:rPr>
          <w:rFonts w:ascii="Times New Roman;Times;serif" w:hAnsi="Times New Roman;Times;serif"/>
          <w:sz w:val="20"/>
        </w:rPr>
        <w:t xml:space="preserve">respectively, and $(293) and $(6,884)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 xml:space="preserve">June 30, 2025, </w:t>
      </w:r>
      <w:r>
        <w:rPr>
          <w:rFonts w:ascii="Times New Roman;Times;serif" w:hAnsi="Times New Roman;Times;serif"/>
          <w:sz w:val="20"/>
        </w:rPr>
        <w:t>respectively.</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Contingent Consideration</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Certain of the Company's business combinations involve potential payment of future consideration that is contingent upon the achievement of certain milestones. As part of purchase accounting, a liability is recorded for the estimated fair value of the contingent consideration on the acquisition date. The fair value of the contingent consideration is remeasured at each reporting period, and the change in fair value is recognized within general and administrative expenses in the Company's condensed consolidated statements of comprehensive income. The fair value measurement of contingent consideration is typically categorized as a Level </w:t>
      </w:r>
      <w:r>
        <w:rPr>
          <w:rStyle w:val="Emphasis"/>
          <w:rFonts w:ascii="Times New Roman;Times;serif" w:hAnsi="Times New Roman;Times;serif"/>
          <w:sz w:val="20"/>
        </w:rPr>
        <w:t>3</w:t>
      </w:r>
      <w:r>
        <w:rPr>
          <w:rFonts w:ascii="Times New Roman;Times;serif" w:hAnsi="Times New Roman;Times;serif"/>
          <w:sz w:val="20"/>
        </w:rPr>
        <w:t xml:space="preserve"> liability, as the measurement amount is based primarily on significant inputs that are </w:t>
      </w:r>
      <w:r>
        <w:rPr>
          <w:rStyle w:val="Emphasis"/>
          <w:rFonts w:ascii="Times New Roman;Times;serif" w:hAnsi="Times New Roman;Times;serif"/>
          <w:sz w:val="20"/>
        </w:rPr>
        <w:t>not</w:t>
      </w:r>
      <w:r>
        <w:rPr>
          <w:rFonts w:ascii="Times New Roman;Times;serif" w:hAnsi="Times New Roman;Times;serif"/>
          <w:sz w:val="20"/>
        </w:rPr>
        <w:t xml:space="preserve"> observable in the market.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combined fair value of contingent consideration for the Chilicon Power LLC (Chilicon), Ageto, and Enercon acquisitions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for the Chilicon, Ageto, and PR Industrial S.r.l. (Pramac) acquisitions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was $121,866 and $32,872, respectively. The contingent consideration period for Pramac ended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The contingent consideration for Chilicon extends through </w:t>
      </w:r>
      <w:r>
        <w:rPr>
          <w:rStyle w:val="Emphasis"/>
          <w:rFonts w:ascii="Times New Roman" w:hAnsi="Times New Roman"/>
          <w:caps w:val="false"/>
          <w:smallCaps w:val="false"/>
          <w:sz w:val="20"/>
        </w:rPr>
        <w:t xml:space="preserve">December 31, 2029, </w:t>
      </w:r>
      <w:r>
        <w:rPr>
          <w:rFonts w:ascii="Times New Roman" w:hAnsi="Times New Roman"/>
          <w:caps w:val="false"/>
          <w:smallCaps w:val="false"/>
          <w:sz w:val="20"/>
        </w:rPr>
        <w:t xml:space="preserve">and is paid annually based on incremental earnings and upon achievement of certain milestones. The contingent consideration for Ageto can be earned in equal increments with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of the contingent consideration earned as of </w:t>
      </w:r>
      <w:r>
        <w:rPr>
          <w:rStyle w:val="Emphasis"/>
          <w:rFonts w:ascii="Times New Roman" w:hAnsi="Times New Roman"/>
          <w:caps w:val="false"/>
          <w:smallCaps w:val="false"/>
          <w:sz w:val="20"/>
        </w:rPr>
        <w:t xml:space="preserve">August 1, 2025, </w:t>
      </w:r>
      <w:r>
        <w:rPr>
          <w:rFonts w:ascii="Times New Roman" w:hAnsi="Times New Roman"/>
          <w:caps w:val="false"/>
          <w:smallCaps w:val="false"/>
          <w:sz w:val="20"/>
        </w:rPr>
        <w:t xml:space="preserve">and the remaining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increments capable of being earned on </w:t>
      </w:r>
      <w:r>
        <w:rPr>
          <w:rStyle w:val="Emphasis"/>
          <w:rFonts w:ascii="Times New Roman" w:hAnsi="Times New Roman"/>
          <w:caps w:val="false"/>
          <w:smallCaps w:val="false"/>
          <w:sz w:val="20"/>
        </w:rPr>
        <w:t xml:space="preserve">August 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August 1, 2027. </w:t>
      </w:r>
      <w:r>
        <w:rPr>
          <w:rFonts w:ascii="Times New Roman" w:hAnsi="Times New Roman"/>
          <w:caps w:val="false"/>
          <w:smallCaps w:val="false"/>
          <w:sz w:val="20"/>
        </w:rPr>
        <w:t xml:space="preserve">The contingent consideration for Enercon extends through </w:t>
      </w:r>
      <w:r>
        <w:rPr>
          <w:rStyle w:val="Emphasis"/>
          <w:rFonts w:ascii="Times New Roman" w:hAnsi="Times New Roman"/>
          <w:caps w:val="false"/>
          <w:smallCaps w:val="false"/>
          <w:sz w:val="20"/>
        </w:rPr>
        <w:t xml:space="preserve">April 1, 2027, </w:t>
      </w:r>
      <w:r>
        <w:rPr>
          <w:rFonts w:ascii="Times New Roman" w:hAnsi="Times New Roman"/>
          <w:caps w:val="false"/>
          <w:smallCaps w:val="false"/>
          <w:sz w:val="20"/>
        </w:rPr>
        <w:t>and is earned based on the achievement of specified target EBITDA levels during the earnout period, with 35% payable in restricted shares and the remainder in cash. The current portion of contingent consideration totals $105,858 and is reported in other accrued liabilities, and the non-current portion totals $16,008 and i</w:t>
      </w:r>
      <w:r>
        <w:rPr>
          <w:rFonts w:ascii="Times New Roman" w:hAnsi="Times New Roman"/>
          <w:caps w:val="false"/>
          <w:smallCaps w:val="false"/>
          <w:sz w:val="20"/>
          <w:shd w:fill="FFFFFF" w:val="clear"/>
        </w:rPr>
        <w:t>s reported in operating lease and other long-term liabilities in the condensed consolidated balance sheets.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provides a reconciliation of the activity for contingent consideration: </w:t>
      </w:r>
    </w:p>
    <w:p>
      <w:pPr>
        <w:pStyle w:val="TextBody"/>
        <w:bidi w:val="0"/>
        <w:spacing w:before="0" w:after="0"/>
        <w:ind w:left="0" w:right="0" w:hanging="0"/>
        <w:jc w:val="both"/>
        <w:rPr/>
      </w:pPr>
      <w:r>
        <w:rPr/>
        <w:t> </w:t>
      </w:r>
    </w:p>
    <w:tbl>
      <w:tblPr>
        <w:tblW w:w="4430" w:type="dxa"/>
        <w:jc w:val="left"/>
        <w:tblInd w:w="0" w:type="dxa"/>
        <w:tblLayout w:type="fixed"/>
        <w:tblCellMar>
          <w:top w:w="0" w:type="dxa"/>
          <w:left w:w="0" w:type="dxa"/>
          <w:bottom w:w="0" w:type="dxa"/>
          <w:right w:w="0" w:type="dxa"/>
        </w:tblCellMar>
      </w:tblPr>
      <w:tblGrid>
        <w:gridCol w:w="3470"/>
        <w:gridCol w:w="60"/>
        <w:gridCol w:w="125"/>
        <w:gridCol w:w="695"/>
        <w:gridCol w:w="80"/>
      </w:tblGrid>
      <w:tr>
        <w:trPr/>
        <w:tc>
          <w:tcPr>
            <w:tcW w:w="34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Beginning balance, January 1, 2026</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32,872</w:t>
            </w:r>
          </w:p>
        </w:tc>
        <w:tc>
          <w:tcPr>
            <w:tcW w:w="80"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Additional contingent consideration (1)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91,551</w:t>
            </w:r>
          </w:p>
        </w:tc>
        <w:tc>
          <w:tcPr>
            <w:tcW w:w="80"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Payment of contingent consideration (2)</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(3,917</w:t>
            </w:r>
          </w:p>
        </w:tc>
        <w:tc>
          <w:tcPr>
            <w:tcW w:w="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34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Present value interest accretion</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1,360</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34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Ending balance, June 30, 2026</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121,866</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Represents $91,551 of contingent deferred consideration for the Enercon acquisition. </w:t>
      </w:r>
    </w:p>
    <w:p>
      <w:pPr>
        <w:pStyle w:val="TextBody"/>
        <w:bidi w:val="0"/>
        <w:spacing w:before="0" w:after="0"/>
        <w:ind w:left="0" w:right="0" w:hanging="0"/>
        <w:jc w:val="both"/>
        <w:rPr/>
      </w:pPr>
      <w:r>
        <w:rPr>
          <w:rFonts w:ascii="Times New Roman;Times;serif" w:hAnsi="Times New Roman;Times;serif"/>
          <w:sz w:val="20"/>
        </w:rPr>
        <w:t>(</w:t>
      </w:r>
      <w:r>
        <w:rPr>
          <w:rStyle w:val="Emphasis"/>
          <w:rFonts w:ascii="Times New Roman;Times;serif" w:hAnsi="Times New Roman;Times;serif"/>
          <w:sz w:val="20"/>
        </w:rPr>
        <w:t>2</w:t>
      </w:r>
      <w:r>
        <w:rPr>
          <w:rFonts w:ascii="Times New Roman;Times;serif" w:hAnsi="Times New Roman;Times;serif"/>
          <w:sz w:val="20"/>
        </w:rPr>
        <w:t>) Represents payment of $3,917 in shares for the Chilicon acquisition. The payment of common stock is accounted for as a non-cash item in the condensed consolidated statements of cash flows. </w:t>
      </w:r>
    </w:p>
    <w:p>
      <w:pPr>
        <w:pStyle w:val="TextBody"/>
        <w:bidi w:val="0"/>
        <w:spacing w:before="0" w:after="0"/>
        <w:ind w:left="0" w:right="0" w:hanging="0"/>
        <w:jc w:val="both"/>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6.</w:t>
      </w:r>
      <w:r>
        <w:rPr>
          <w:rFonts w:ascii="Times New Roman;Times;serif" w:hAnsi="Times New Roman;Times;serif"/>
          <w:b/>
          <w:sz w:val="20"/>
        </w:rPr>
        <w:t>   Accumulated Other Comprehensive</w:t>
      </w:r>
      <w:r>
        <w:rPr>
          <w:rFonts w:ascii="Times New Roman;Times;serif" w:hAnsi="Times New Roman;Times;serif"/>
          <w:sz w:val="20"/>
        </w:rPr>
        <w:t xml:space="preserve"> </w:t>
      </w:r>
      <w:r>
        <w:rPr>
          <w:rFonts w:ascii="Times New Roman;Times;serif" w:hAnsi="Times New Roman;Times;serif"/>
          <w:b/>
          <w:sz w:val="20"/>
        </w:rPr>
        <w:t>Income (Loss)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following table presents a disclosure of changes in Accumulated Other Comprehensive Income (Loss) during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 xml:space="preserve">June 30, 2026 </w:t>
      </w:r>
      <w:r>
        <w:rPr>
          <w:rFonts w:ascii="Times New Roman;Times;serif" w:hAnsi="Times New Roman;Times;serif"/>
          <w:sz w:val="20"/>
        </w:rPr>
        <w:t xml:space="preserve">and </w:t>
      </w:r>
      <w:r>
        <w:rPr>
          <w:rStyle w:val="Emphasis"/>
          <w:rFonts w:ascii="Times New Roman;Times;serif" w:hAnsi="Times New Roman;Times;serif"/>
          <w:sz w:val="20"/>
        </w:rPr>
        <w:t>2025</w:t>
      </w:r>
      <w:r>
        <w:rPr>
          <w:rFonts w:ascii="Times New Roman;Times;serif" w:hAnsi="Times New Roman;Times;serif"/>
          <w:sz w:val="20"/>
        </w:rPr>
        <w:t>, net of tax:</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2482"/>
        <w:gridCol w:w="60"/>
        <w:gridCol w:w="478"/>
        <w:gridCol w:w="2500"/>
        <w:gridCol w:w="80"/>
        <w:gridCol w:w="230"/>
        <w:gridCol w:w="60"/>
        <w:gridCol w:w="573"/>
        <w:gridCol w:w="2513"/>
        <w:gridCol w:w="80"/>
        <w:gridCol w:w="230"/>
        <w:gridCol w:w="60"/>
        <w:gridCol w:w="125"/>
        <w:gridCol w:w="650"/>
        <w:gridCol w:w="84"/>
      </w:tblGrid>
      <w:tr>
        <w:trPr/>
        <w:tc>
          <w:tcPr>
            <w:tcW w:w="24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Foreign Currency Translation Adjustments</w:t>
            </w:r>
          </w:p>
        </w:tc>
        <w:tc>
          <w:tcPr>
            <w:tcW w:w="8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8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Unrealized Gain (Loss) on Cash Flow Hedges</w:t>
            </w:r>
          </w:p>
        </w:tc>
        <w:tc>
          <w:tcPr>
            <w:tcW w:w="8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4" w:type="dxa"/>
            <w:tcBorders/>
            <w:shd w:fill="FFFFFF" w:val="clear"/>
            <w:vAlign w:val="center"/>
          </w:tcPr>
          <w:p>
            <w:pPr>
              <w:pStyle w:val="TableContents"/>
              <w:bidi w:val="0"/>
              <w:spacing w:before="0" w:after="283"/>
              <w:jc w:val="left"/>
              <w:rPr/>
            </w:pPr>
            <w:r>
              <w:rPr/>
              <w:t> </w:t>
            </w:r>
          </w:p>
        </w:tc>
      </w:tr>
      <w:tr>
        <w:trPr/>
        <w:tc>
          <w:tcPr>
            <w:tcW w:w="248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 – April 1, 2026</w:t>
            </w:r>
          </w:p>
        </w:tc>
        <w:tc>
          <w:tcPr>
            <w:tcW w:w="60" w:type="dxa"/>
            <w:tcBorders/>
            <w:shd w:fill="CCEEFF" w:val="clear"/>
            <w:vAlign w:val="center"/>
          </w:tcPr>
          <w:p>
            <w:pPr>
              <w:pStyle w:val="TableContents"/>
              <w:bidi w:val="0"/>
              <w:spacing w:before="0" w:after="283"/>
              <w:ind w:left="0" w:right="0" w:hanging="0"/>
              <w:jc w:val="left"/>
              <w:rPr/>
            </w:pPr>
            <w:r>
              <w:rPr/>
              <w:t> </w:t>
            </w:r>
          </w:p>
        </w:tc>
        <w:tc>
          <w:tcPr>
            <w:tcW w:w="4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(23,919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6,389</w:t>
            </w:r>
          </w:p>
        </w:tc>
        <w:tc>
          <w:tcPr>
            <w:tcW w:w="8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(17,530</w:t>
            </w:r>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8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4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5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2,166</w:t>
            </w:r>
          </w:p>
        </w:tc>
        <w:tc>
          <w:tcPr>
            <w:tcW w:w="80" w:type="dxa"/>
            <w:tcBorders/>
            <w:shd w:fill="FFFFFF" w:val="clear"/>
            <w:vAlign w:val="center"/>
          </w:tcPr>
          <w:p>
            <w:pPr>
              <w:pStyle w:val="TableContents"/>
              <w:bidi w:val="0"/>
              <w:spacing w:before="0" w:after="283"/>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(1)</w:t>
            </w:r>
          </w:p>
        </w:tc>
        <w:tc>
          <w:tcPr>
            <w:tcW w:w="60" w:type="dxa"/>
            <w:tcBorders/>
            <w:shd w:fill="FFFFFF" w:val="clear"/>
            <w:vAlign w:val="center"/>
          </w:tcPr>
          <w:p>
            <w:pPr>
              <w:pStyle w:val="TableContents"/>
              <w:bidi w:val="0"/>
              <w:spacing w:before="0" w:after="283"/>
              <w:jc w:val="left"/>
              <w:rPr/>
            </w:pPr>
            <w:r>
              <w:rPr/>
              <w:t> </w:t>
            </w:r>
          </w:p>
        </w:tc>
        <w:tc>
          <w:tcPr>
            <w:tcW w:w="5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5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(2,193</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(2)</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8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 – June 30, 2026</w:t>
            </w:r>
          </w:p>
        </w:tc>
        <w:tc>
          <w:tcPr>
            <w:tcW w:w="60" w:type="dxa"/>
            <w:tcBorders/>
            <w:shd w:fill="CCEEFF" w:val="clear"/>
            <w:vAlign w:val="center"/>
          </w:tcPr>
          <w:p>
            <w:pPr>
              <w:pStyle w:val="TableContents"/>
              <w:bidi w:val="0"/>
              <w:spacing w:before="0" w:after="283"/>
              <w:ind w:left="0" w:right="0" w:hanging="0"/>
              <w:jc w:val="left"/>
              <w:rPr/>
            </w:pPr>
            <w:r>
              <w:rPr/>
              <w:t> </w:t>
            </w:r>
          </w:p>
        </w:tc>
        <w:tc>
          <w:tcPr>
            <w:tcW w:w="4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(21,753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4,196</w:t>
            </w:r>
          </w:p>
        </w:tc>
        <w:tc>
          <w:tcPr>
            <w:tcW w:w="8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(17,557</w:t>
            </w:r>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2482"/>
        <w:gridCol w:w="60"/>
        <w:gridCol w:w="478"/>
        <w:gridCol w:w="2500"/>
        <w:gridCol w:w="80"/>
        <w:gridCol w:w="230"/>
        <w:gridCol w:w="60"/>
        <w:gridCol w:w="536"/>
        <w:gridCol w:w="2550"/>
        <w:gridCol w:w="80"/>
        <w:gridCol w:w="230"/>
        <w:gridCol w:w="60"/>
        <w:gridCol w:w="125"/>
        <w:gridCol w:w="650"/>
        <w:gridCol w:w="84"/>
      </w:tblGrid>
      <w:tr>
        <w:trPr/>
        <w:tc>
          <w:tcPr>
            <w:tcW w:w="24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Foreign Currency Translation Adjustments</w:t>
            </w:r>
          </w:p>
        </w:tc>
        <w:tc>
          <w:tcPr>
            <w:tcW w:w="8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86"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 w:hAnsi="Times New Roman"/>
                <w:b/>
                <w:sz w:val="20"/>
              </w:rPr>
              <w:t>Unrealized Gain (Loss) on Cash Flow Hedges</w:t>
            </w:r>
          </w:p>
        </w:tc>
        <w:tc>
          <w:tcPr>
            <w:tcW w:w="8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4" w:type="dxa"/>
            <w:tcBorders/>
            <w:shd w:fill="FFFFFF" w:val="clear"/>
            <w:vAlign w:val="center"/>
          </w:tcPr>
          <w:p>
            <w:pPr>
              <w:pStyle w:val="TableContents"/>
              <w:bidi w:val="0"/>
              <w:spacing w:before="0" w:after="283"/>
              <w:jc w:val="left"/>
              <w:rPr/>
            </w:pPr>
            <w:r>
              <w:rPr/>
              <w:t> </w:t>
            </w:r>
          </w:p>
        </w:tc>
      </w:tr>
      <w:tr>
        <w:trPr/>
        <w:tc>
          <w:tcPr>
            <w:tcW w:w="248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Beginning Balance – April 1, 2025</w:t>
            </w:r>
          </w:p>
        </w:tc>
        <w:tc>
          <w:tcPr>
            <w:tcW w:w="60" w:type="dxa"/>
            <w:tcBorders/>
            <w:shd w:fill="CCEEFF" w:val="clear"/>
            <w:vAlign w:val="center"/>
          </w:tcPr>
          <w:p>
            <w:pPr>
              <w:pStyle w:val="TableContents"/>
              <w:bidi w:val="0"/>
              <w:spacing w:before="0" w:after="283"/>
              <w:ind w:left="0" w:right="0" w:hanging="0"/>
              <w:jc w:val="left"/>
              <w:rPr/>
            </w:pPr>
            <w:r>
              <w:rPr/>
              <w:t> </w:t>
            </w:r>
          </w:p>
        </w:tc>
        <w:tc>
          <w:tcPr>
            <w:tcW w:w="47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50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(76,894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230"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3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5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16,454</w:t>
            </w:r>
          </w:p>
        </w:tc>
        <w:tc>
          <w:tcPr>
            <w:tcW w:w="8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(60,440</w:t>
            </w:r>
          </w:p>
        </w:tc>
        <w:tc>
          <w:tcPr>
            <w:tcW w:w="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82"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4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5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66,635</w:t>
            </w:r>
          </w:p>
        </w:tc>
        <w:tc>
          <w:tcPr>
            <w:tcW w:w="80" w:type="dxa"/>
            <w:tcBorders/>
            <w:shd w:fill="FFFFFF" w:val="clear"/>
            <w:vAlign w:val="center"/>
          </w:tcPr>
          <w:p>
            <w:pPr>
              <w:pStyle w:val="TableContents"/>
              <w:bidi w:val="0"/>
              <w:spacing w:before="0" w:after="283"/>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(3)</w:t>
            </w:r>
          </w:p>
        </w:tc>
        <w:tc>
          <w:tcPr>
            <w:tcW w:w="60" w:type="dxa"/>
            <w:tcBorders/>
            <w:shd w:fill="FFFFFF" w:val="clear"/>
            <w:vAlign w:val="center"/>
          </w:tcPr>
          <w:p>
            <w:pPr>
              <w:pStyle w:val="TableContents"/>
              <w:bidi w:val="0"/>
              <w:spacing w:before="0" w:after="283"/>
              <w:jc w:val="left"/>
              <w:rPr/>
            </w:pPr>
            <w:r>
              <w:rPr/>
              <w:t> </w:t>
            </w:r>
          </w:p>
        </w:tc>
        <w:tc>
          <w:tcPr>
            <w:tcW w:w="5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5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(3,090</w:t>
            </w:r>
          </w:p>
        </w:tc>
        <w:tc>
          <w:tcPr>
            <w:tcW w:w="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30"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(4)</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63,545</w:t>
            </w:r>
          </w:p>
        </w:tc>
        <w:tc>
          <w:tcPr>
            <w:tcW w:w="84" w:type="dxa"/>
            <w:tcBorders/>
            <w:shd w:fill="FFFFFF" w:val="clear"/>
            <w:vAlign w:val="center"/>
          </w:tcPr>
          <w:p>
            <w:pPr>
              <w:pStyle w:val="TableContents"/>
              <w:bidi w:val="0"/>
              <w:spacing w:before="0" w:after="283"/>
              <w:jc w:val="left"/>
              <w:rPr/>
            </w:pPr>
            <w:r>
              <w:rPr/>
              <w:t> </w:t>
            </w:r>
          </w:p>
        </w:tc>
      </w:tr>
      <w:tr>
        <w:trPr/>
        <w:tc>
          <w:tcPr>
            <w:tcW w:w="248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Ending Balance – June 30, 2025</w:t>
            </w:r>
          </w:p>
        </w:tc>
        <w:tc>
          <w:tcPr>
            <w:tcW w:w="60" w:type="dxa"/>
            <w:tcBorders/>
            <w:shd w:fill="CCEEFF" w:val="clear"/>
            <w:vAlign w:val="center"/>
          </w:tcPr>
          <w:p>
            <w:pPr>
              <w:pStyle w:val="TableContents"/>
              <w:bidi w:val="0"/>
              <w:spacing w:before="0" w:after="283"/>
              <w:ind w:left="0" w:right="0" w:hanging="0"/>
              <w:jc w:val="left"/>
              <w:rPr/>
            </w:pPr>
            <w:r>
              <w:rPr/>
              <w:t> </w:t>
            </w:r>
          </w:p>
        </w:tc>
        <w:tc>
          <w:tcPr>
            <w:tcW w:w="4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5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(10,259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230"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5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13,364</w:t>
            </w:r>
          </w:p>
        </w:tc>
        <w:tc>
          <w:tcPr>
            <w:tcW w:w="8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3,105</w:t>
            </w:r>
          </w:p>
        </w:tc>
        <w:tc>
          <w:tcPr>
            <w:tcW w:w="8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602"/>
        <w:gridCol w:w="60"/>
        <w:gridCol w:w="469"/>
        <w:gridCol w:w="2454"/>
        <w:gridCol w:w="80"/>
        <w:gridCol w:w="229"/>
        <w:gridCol w:w="60"/>
        <w:gridCol w:w="561"/>
        <w:gridCol w:w="2463"/>
        <w:gridCol w:w="80"/>
        <w:gridCol w:w="229"/>
        <w:gridCol w:w="60"/>
        <w:gridCol w:w="125"/>
        <w:gridCol w:w="650"/>
        <w:gridCol w:w="83"/>
      </w:tblGrid>
      <w:tr>
        <w:trPr/>
        <w:tc>
          <w:tcPr>
            <w:tcW w:w="26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Foreign Currency Translation Adjustments</w:t>
            </w:r>
          </w:p>
        </w:tc>
        <w:tc>
          <w:tcPr>
            <w:tcW w:w="8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Unrealized Gain (Loss) on Cash Flow Hedges</w:t>
            </w:r>
          </w:p>
        </w:tc>
        <w:tc>
          <w:tcPr>
            <w:tcW w:w="8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3" w:type="dxa"/>
            <w:tcBorders/>
            <w:shd w:fill="FFFFFF" w:val="clear"/>
            <w:vAlign w:val="center"/>
          </w:tcPr>
          <w:p>
            <w:pPr>
              <w:pStyle w:val="TableContents"/>
              <w:bidi w:val="0"/>
              <w:spacing w:before="0" w:after="283"/>
              <w:jc w:val="left"/>
              <w:rPr/>
            </w:pPr>
            <w:r>
              <w:rPr/>
              <w:t> </w:t>
            </w:r>
          </w:p>
        </w:tc>
      </w:tr>
      <w:tr>
        <w:trPr/>
        <w:tc>
          <w:tcPr>
            <w:tcW w:w="260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 – January 1, 2026</w:t>
            </w:r>
          </w:p>
        </w:tc>
        <w:tc>
          <w:tcPr>
            <w:tcW w:w="60" w:type="dxa"/>
            <w:tcBorders/>
            <w:shd w:fill="CCEEFF" w:val="clear"/>
            <w:vAlign w:val="center"/>
          </w:tcPr>
          <w:p>
            <w:pPr>
              <w:pStyle w:val="TableContents"/>
              <w:bidi w:val="0"/>
              <w:spacing w:before="0" w:after="283"/>
              <w:ind w:left="0" w:right="0" w:hanging="0"/>
              <w:jc w:val="left"/>
              <w:rPr/>
            </w:pPr>
            <w:r>
              <w:rPr/>
              <w:t> </w:t>
            </w:r>
          </w:p>
        </w:tc>
        <w:tc>
          <w:tcPr>
            <w:tcW w:w="4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29"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7,904</w:t>
            </w:r>
          </w:p>
        </w:tc>
        <w:tc>
          <w:tcPr>
            <w:tcW w:w="8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874</w:t>
            </w:r>
          </w:p>
        </w:tc>
        <w:tc>
          <w:tcPr>
            <w:tcW w:w="83" w:type="dxa"/>
            <w:tcBorders/>
            <w:shd w:fill="CCEEFF" w:val="clear"/>
            <w:vAlign w:val="center"/>
          </w:tcPr>
          <w:p>
            <w:pPr>
              <w:pStyle w:val="TableContents"/>
              <w:bidi w:val="0"/>
              <w:spacing w:before="0" w:after="283"/>
              <w:jc w:val="left"/>
              <w:rPr/>
            </w:pPr>
            <w:r>
              <w:rPr/>
              <w:t> </w:t>
            </w:r>
          </w:p>
        </w:tc>
      </w:tr>
      <w:tr>
        <w:trPr/>
        <w:tc>
          <w:tcPr>
            <w:tcW w:w="260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4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4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(14,723</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29"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(5)</w:t>
            </w:r>
          </w:p>
        </w:tc>
        <w:tc>
          <w:tcPr>
            <w:tcW w:w="60" w:type="dxa"/>
            <w:tcBorders/>
            <w:shd w:fill="FFFFFF" w:val="clear"/>
            <w:vAlign w:val="center"/>
          </w:tcPr>
          <w:p>
            <w:pPr>
              <w:pStyle w:val="TableContents"/>
              <w:bidi w:val="0"/>
              <w:spacing w:before="0" w:after="283"/>
              <w:jc w:val="left"/>
              <w:rPr/>
            </w:pPr>
            <w:r>
              <w:rPr/>
              <w:t> </w:t>
            </w:r>
          </w:p>
        </w:tc>
        <w:tc>
          <w:tcPr>
            <w:tcW w:w="5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4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(3,708</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29"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(6)</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(18,431</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0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 – June 30, 2026</w:t>
            </w:r>
          </w:p>
        </w:tc>
        <w:tc>
          <w:tcPr>
            <w:tcW w:w="60" w:type="dxa"/>
            <w:tcBorders/>
            <w:shd w:fill="CCEEFF" w:val="clear"/>
            <w:vAlign w:val="center"/>
          </w:tcPr>
          <w:p>
            <w:pPr>
              <w:pStyle w:val="TableContents"/>
              <w:bidi w:val="0"/>
              <w:spacing w:before="0" w:after="283"/>
              <w:ind w:left="0" w:right="0" w:hanging="0"/>
              <w:jc w:val="left"/>
              <w:rPr/>
            </w:pPr>
            <w:r>
              <w:rPr/>
              <w:t> </w:t>
            </w:r>
          </w:p>
        </w:tc>
        <w:tc>
          <w:tcPr>
            <w:tcW w:w="4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(21,753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29"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6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4,196</w:t>
            </w:r>
          </w:p>
        </w:tc>
        <w:tc>
          <w:tcPr>
            <w:tcW w:w="8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(17,557</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602"/>
        <w:gridCol w:w="60"/>
        <w:gridCol w:w="413"/>
        <w:gridCol w:w="2510"/>
        <w:gridCol w:w="80"/>
        <w:gridCol w:w="229"/>
        <w:gridCol w:w="60"/>
        <w:gridCol w:w="525"/>
        <w:gridCol w:w="2499"/>
        <w:gridCol w:w="80"/>
        <w:gridCol w:w="229"/>
        <w:gridCol w:w="60"/>
        <w:gridCol w:w="125"/>
        <w:gridCol w:w="650"/>
        <w:gridCol w:w="83"/>
      </w:tblGrid>
      <w:tr>
        <w:trPr/>
        <w:tc>
          <w:tcPr>
            <w:tcW w:w="26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Foreign Currency Translation Adjustments</w:t>
            </w:r>
          </w:p>
        </w:tc>
        <w:tc>
          <w:tcPr>
            <w:tcW w:w="8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Unrealized Gain (Loss) on Cash Flow Hedges</w:t>
            </w:r>
          </w:p>
        </w:tc>
        <w:tc>
          <w:tcPr>
            <w:tcW w:w="8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3" w:type="dxa"/>
            <w:tcBorders/>
            <w:shd w:fill="FFFFFF" w:val="clear"/>
            <w:vAlign w:val="center"/>
          </w:tcPr>
          <w:p>
            <w:pPr>
              <w:pStyle w:val="TableContents"/>
              <w:bidi w:val="0"/>
              <w:spacing w:before="0" w:after="283"/>
              <w:jc w:val="left"/>
              <w:rPr/>
            </w:pPr>
            <w:r>
              <w:rPr/>
              <w:t> </w:t>
            </w:r>
          </w:p>
        </w:tc>
      </w:tr>
      <w:tr>
        <w:trPr/>
        <w:tc>
          <w:tcPr>
            <w:tcW w:w="260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 – January 1, 2025</w:t>
            </w:r>
          </w:p>
        </w:tc>
        <w:tc>
          <w:tcPr>
            <w:tcW w:w="60" w:type="dxa"/>
            <w:tcBorders/>
            <w:shd w:fill="CCEEFF" w:val="clear"/>
            <w:vAlign w:val="center"/>
          </w:tcPr>
          <w:p>
            <w:pPr>
              <w:pStyle w:val="TableContents"/>
              <w:bidi w:val="0"/>
              <w:spacing w:before="0" w:after="283"/>
              <w:ind w:left="0" w:right="0" w:hanging="0"/>
              <w:jc w:val="left"/>
              <w:rPr/>
            </w:pPr>
            <w:r>
              <w:rPr/>
              <w:t> </w:t>
            </w:r>
          </w:p>
        </w:tc>
        <w:tc>
          <w:tcPr>
            <w:tcW w:w="41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(106,166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29"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20,767</w:t>
            </w:r>
          </w:p>
        </w:tc>
        <w:tc>
          <w:tcPr>
            <w:tcW w:w="8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(85,399</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0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4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5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95,907</w:t>
            </w:r>
          </w:p>
        </w:tc>
        <w:tc>
          <w:tcPr>
            <w:tcW w:w="80" w:type="dxa"/>
            <w:tcBorders/>
            <w:shd w:fill="FFFFFF" w:val="clear"/>
            <w:vAlign w:val="center"/>
          </w:tcPr>
          <w:p>
            <w:pPr>
              <w:pStyle w:val="TableContents"/>
              <w:bidi w:val="0"/>
              <w:spacing w:before="0" w:after="283"/>
              <w:ind w:left="0" w:right="0" w:hanging="0"/>
              <w:jc w:val="left"/>
              <w:rPr/>
            </w:pPr>
            <w:r>
              <w:rPr/>
              <w:t> </w:t>
            </w:r>
          </w:p>
        </w:tc>
        <w:tc>
          <w:tcPr>
            <w:tcW w:w="229"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(3)</w:t>
            </w:r>
          </w:p>
        </w:tc>
        <w:tc>
          <w:tcPr>
            <w:tcW w:w="60" w:type="dxa"/>
            <w:tcBorders/>
            <w:shd w:fill="FFFFFF" w:val="clear"/>
            <w:vAlign w:val="center"/>
          </w:tcPr>
          <w:p>
            <w:pPr>
              <w:pStyle w:val="TableContents"/>
              <w:bidi w:val="0"/>
              <w:spacing w:before="0" w:after="283"/>
              <w:jc w:val="left"/>
              <w:rPr/>
            </w:pPr>
            <w:r>
              <w:rPr/>
              <w:t> </w:t>
            </w:r>
          </w:p>
        </w:tc>
        <w:tc>
          <w:tcPr>
            <w:tcW w:w="5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4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(7,403</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29"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(7)</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88,504</w:t>
            </w:r>
          </w:p>
        </w:tc>
        <w:tc>
          <w:tcPr>
            <w:tcW w:w="83" w:type="dxa"/>
            <w:tcBorders/>
            <w:shd w:fill="FFFFFF" w:val="clear"/>
            <w:vAlign w:val="center"/>
          </w:tcPr>
          <w:p>
            <w:pPr>
              <w:pStyle w:val="TableContents"/>
              <w:bidi w:val="0"/>
              <w:spacing w:before="0" w:after="283"/>
              <w:jc w:val="left"/>
              <w:rPr/>
            </w:pPr>
            <w:r>
              <w:rPr/>
              <w:t> </w:t>
            </w:r>
          </w:p>
        </w:tc>
      </w:tr>
      <w:tr>
        <w:trPr/>
        <w:tc>
          <w:tcPr>
            <w:tcW w:w="260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 – June 30, 2025</w:t>
            </w:r>
          </w:p>
        </w:tc>
        <w:tc>
          <w:tcPr>
            <w:tcW w:w="60" w:type="dxa"/>
            <w:tcBorders/>
            <w:shd w:fill="CCEEFF" w:val="clear"/>
            <w:vAlign w:val="center"/>
          </w:tcPr>
          <w:p>
            <w:pPr>
              <w:pStyle w:val="TableContents"/>
              <w:bidi w:val="0"/>
              <w:spacing w:before="0" w:after="283"/>
              <w:ind w:left="0" w:right="0" w:hanging="0"/>
              <w:jc w:val="left"/>
              <w:rPr/>
            </w:pPr>
            <w:r>
              <w:rPr/>
              <w:t> </w:t>
            </w:r>
          </w:p>
        </w:tc>
        <w:tc>
          <w:tcPr>
            <w:tcW w:w="41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(10,259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29"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13,364</w:t>
            </w:r>
          </w:p>
        </w:tc>
        <w:tc>
          <w:tcPr>
            <w:tcW w:w="8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3,105</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14"/>
        <w:gridCol w:w="9931"/>
      </w:tblGrid>
      <w:tr>
        <w:trPr/>
        <w:tc>
          <w:tcPr>
            <w:tcW w:w="60" w:type="dxa"/>
            <w:tcBorders/>
            <w:vAlign w:val="center"/>
          </w:tcPr>
          <w:p>
            <w:pPr>
              <w:pStyle w:val="TableContents"/>
              <w:bidi w:val="0"/>
              <w:spacing w:before="0" w:after="283"/>
              <w:jc w:val="both"/>
              <w:rPr/>
            </w:pPr>
            <w:r>
              <w:rPr/>
              <w:t> </w:t>
            </w:r>
          </w:p>
        </w:tc>
        <w:tc>
          <w:tcPr>
            <w:tcW w:w="214" w:type="dxa"/>
            <w:tcBorders/>
            <w:vAlign w:val="center"/>
          </w:tcPr>
          <w:p>
            <w:pPr>
              <w:pStyle w:val="TableContents"/>
              <w:bidi w:val="0"/>
              <w:spacing w:before="0" w:after="283"/>
              <w:jc w:val="both"/>
              <w:rPr/>
            </w:pPr>
            <w:r>
              <w:rPr/>
              <w:t>(</w:t>
            </w:r>
            <w:r>
              <w:rPr>
                <w:rStyle w:val="Emphasis"/>
              </w:rPr>
              <w:t>1</w:t>
            </w:r>
            <w:r>
              <w:rPr/>
              <w:t>)</w:t>
            </w:r>
          </w:p>
        </w:tc>
        <w:tc>
          <w:tcPr>
            <w:tcW w:w="9931" w:type="dxa"/>
            <w:tcBorders/>
            <w:vAlign w:val="center"/>
          </w:tcPr>
          <w:p>
            <w:pPr>
              <w:pStyle w:val="TableContents"/>
              <w:bidi w:val="0"/>
              <w:spacing w:before="0" w:after="283"/>
              <w:jc w:val="both"/>
              <w:rPr/>
            </w:pPr>
            <w:r>
              <w:rPr>
                <w:shd w:fill="FFFFFF" w:val="clear"/>
              </w:rPr>
              <w:t xml:space="preserve">Represents a favorable impact from the weakening of the U.S. dollar against foreign currencies during the </w:t>
            </w:r>
            <w:r>
              <w:rPr>
                <w:rStyle w:val="Emphasis"/>
                <w:shd w:fill="FFFFFF" w:val="clear"/>
              </w:rPr>
              <w:t>three</w:t>
            </w:r>
            <w:r>
              <w:rPr>
                <w:shd w:fill="FFFFFF" w:val="clear"/>
              </w:rPr>
              <w:t xml:space="preserve"> months ended </w:t>
            </w:r>
            <w:r>
              <w:rPr>
                <w:rStyle w:val="Emphasis"/>
                <w:shd w:fill="FFFFFF" w:val="clear"/>
              </w:rPr>
              <w:t xml:space="preserve">June 30, 2026, </w:t>
            </w:r>
            <w:r>
              <w:rPr>
                <w:shd w:fill="FFFFFF" w:val="clear"/>
              </w:rPr>
              <w:t>particularly the </w:t>
            </w:r>
            <w:r>
              <w:rPr/>
              <w:t>Mexican Peso.</w:t>
            </w:r>
          </w:p>
        </w:tc>
      </w:tr>
      <w:tr>
        <w:trPr/>
        <w:tc>
          <w:tcPr>
            <w:tcW w:w="60" w:type="dxa"/>
            <w:tcBorders/>
            <w:vAlign w:val="center"/>
          </w:tcPr>
          <w:p>
            <w:pPr>
              <w:pStyle w:val="TableContents"/>
              <w:bidi w:val="0"/>
              <w:spacing w:before="0" w:after="283"/>
              <w:jc w:val="both"/>
              <w:rPr/>
            </w:pPr>
            <w:r>
              <w:rPr/>
              <w:t> </w:t>
            </w:r>
          </w:p>
        </w:tc>
        <w:tc>
          <w:tcPr>
            <w:tcW w:w="214" w:type="dxa"/>
            <w:tcBorders/>
            <w:vAlign w:val="center"/>
          </w:tcPr>
          <w:p>
            <w:pPr>
              <w:pStyle w:val="TableContents"/>
              <w:bidi w:val="0"/>
              <w:spacing w:before="0" w:after="283"/>
              <w:jc w:val="both"/>
              <w:rPr/>
            </w:pPr>
            <w:r>
              <w:rPr/>
              <w:t>(</w:t>
            </w:r>
            <w:r>
              <w:rPr>
                <w:rStyle w:val="Emphasis"/>
              </w:rPr>
              <w:t>2</w:t>
            </w:r>
            <w:r>
              <w:rPr/>
              <w:t>)</w:t>
            </w:r>
          </w:p>
        </w:tc>
        <w:tc>
          <w:tcPr>
            <w:tcW w:w="9931" w:type="dxa"/>
            <w:tcBorders/>
            <w:vAlign w:val="center"/>
          </w:tcPr>
          <w:p>
            <w:pPr>
              <w:pStyle w:val="TableContents"/>
              <w:bidi w:val="0"/>
              <w:spacing w:before="0" w:after="283"/>
              <w:jc w:val="both"/>
              <w:rPr/>
            </w:pPr>
            <w:r>
              <w:rPr>
                <w:shd w:fill="FFFFFF" w:val="clear"/>
              </w:rPr>
              <w:t xml:space="preserve">Represents unrealized losses of $2,913 on the interest rate swaps, net of tax benefit of $720, for the </w:t>
            </w:r>
            <w:r>
              <w:rPr>
                <w:rStyle w:val="Emphasis"/>
                <w:shd w:fill="FFFFFF" w:val="clear"/>
              </w:rPr>
              <w:t>three</w:t>
            </w:r>
            <w:r>
              <w:rPr>
                <w:shd w:fill="FFFFFF" w:val="clear"/>
              </w:rPr>
              <w:t xml:space="preserve"> months ended </w:t>
            </w:r>
            <w:r>
              <w:rPr>
                <w:rStyle w:val="Emphasis"/>
                <w:shd w:fill="FFFFFF" w:val="clear"/>
              </w:rPr>
              <w:t>June 30, 2026.</w:t>
            </w:r>
          </w:p>
        </w:tc>
      </w:tr>
      <w:tr>
        <w:trPr/>
        <w:tc>
          <w:tcPr>
            <w:tcW w:w="60" w:type="dxa"/>
            <w:tcBorders/>
            <w:vAlign w:val="center"/>
          </w:tcPr>
          <w:p>
            <w:pPr>
              <w:pStyle w:val="TableContents"/>
              <w:bidi w:val="0"/>
              <w:spacing w:before="0" w:after="283"/>
              <w:jc w:val="both"/>
              <w:rPr/>
            </w:pPr>
            <w:r>
              <w:rPr/>
              <w:t> </w:t>
            </w:r>
          </w:p>
        </w:tc>
        <w:tc>
          <w:tcPr>
            <w:tcW w:w="214" w:type="dxa"/>
            <w:tcBorders/>
            <w:vAlign w:val="center"/>
          </w:tcPr>
          <w:p>
            <w:pPr>
              <w:pStyle w:val="TableContents"/>
              <w:bidi w:val="0"/>
              <w:spacing w:before="0" w:after="283"/>
              <w:jc w:val="both"/>
              <w:rPr/>
            </w:pPr>
            <w:r>
              <w:rPr>
                <w:color w:val="000000"/>
              </w:rPr>
              <w:t>(</w:t>
            </w:r>
            <w:r>
              <w:rPr>
                <w:rStyle w:val="Emphasis"/>
                <w:color w:val="000000"/>
              </w:rPr>
              <w:t>3</w:t>
            </w:r>
            <w:r>
              <w:rPr>
                <w:color w:val="000000"/>
              </w:rPr>
              <w:t>)</w:t>
            </w:r>
          </w:p>
        </w:tc>
        <w:tc>
          <w:tcPr>
            <w:tcW w:w="9931" w:type="dxa"/>
            <w:tcBorders/>
            <w:vAlign w:val="center"/>
          </w:tcPr>
          <w:p>
            <w:pPr>
              <w:pStyle w:val="TableContents"/>
              <w:bidi w:val="0"/>
              <w:spacing w:before="0" w:after="283"/>
              <w:jc w:val="both"/>
              <w:rPr/>
            </w:pPr>
            <w:r>
              <w:rPr/>
              <w:t xml:space="preserve">Represents a favorable impact from the weakening of the U.S. dollar against foreign currencies during the </w:t>
            </w:r>
            <w:r>
              <w:rPr>
                <w:rStyle w:val="Emphasis"/>
              </w:rPr>
              <w:t>three</w:t>
            </w:r>
            <w:r>
              <w:rPr/>
              <w:t xml:space="preserve"> months and </w:t>
            </w:r>
            <w:r>
              <w:rPr>
                <w:rStyle w:val="Emphasis"/>
              </w:rPr>
              <w:t>six</w:t>
            </w:r>
            <w:r>
              <w:rPr/>
              <w:t xml:space="preserve"> months ended </w:t>
            </w:r>
            <w:r>
              <w:rPr>
                <w:rStyle w:val="Emphasis"/>
              </w:rPr>
              <w:t xml:space="preserve">June 30, 2025, </w:t>
            </w:r>
            <w:r>
              <w:rPr/>
              <w:t>particularly the Euro and British Pound.</w:t>
            </w:r>
          </w:p>
        </w:tc>
      </w:tr>
      <w:tr>
        <w:trPr/>
        <w:tc>
          <w:tcPr>
            <w:tcW w:w="60" w:type="dxa"/>
            <w:tcBorders/>
            <w:vAlign w:val="center"/>
          </w:tcPr>
          <w:p>
            <w:pPr>
              <w:pStyle w:val="TableContents"/>
              <w:bidi w:val="0"/>
              <w:spacing w:before="0" w:after="283"/>
              <w:jc w:val="both"/>
              <w:rPr/>
            </w:pPr>
            <w:r>
              <w:rPr/>
              <w:t> </w:t>
            </w:r>
          </w:p>
        </w:tc>
        <w:tc>
          <w:tcPr>
            <w:tcW w:w="214" w:type="dxa"/>
            <w:tcBorders/>
            <w:vAlign w:val="center"/>
          </w:tcPr>
          <w:p>
            <w:pPr>
              <w:pStyle w:val="TableContents"/>
              <w:bidi w:val="0"/>
              <w:spacing w:before="0" w:after="283"/>
              <w:jc w:val="both"/>
              <w:rPr/>
            </w:pPr>
            <w:r>
              <w:rPr>
                <w:color w:val="000000"/>
              </w:rPr>
              <w:t>(</w:t>
            </w:r>
            <w:r>
              <w:rPr>
                <w:rStyle w:val="Emphasis"/>
                <w:color w:val="000000"/>
              </w:rPr>
              <w:t>4</w:t>
            </w:r>
            <w:r>
              <w:rPr>
                <w:color w:val="000000"/>
              </w:rPr>
              <w:t>)</w:t>
            </w:r>
          </w:p>
        </w:tc>
        <w:tc>
          <w:tcPr>
            <w:tcW w:w="9931" w:type="dxa"/>
            <w:tcBorders/>
            <w:vAlign w:val="center"/>
          </w:tcPr>
          <w:p>
            <w:pPr>
              <w:pStyle w:val="TableContents"/>
              <w:bidi w:val="0"/>
              <w:spacing w:before="0" w:after="0"/>
              <w:ind w:left="0" w:right="0" w:hanging="0"/>
              <w:jc w:val="both"/>
              <w:rPr/>
            </w:pPr>
            <w:r>
              <w:rPr>
                <w:rFonts w:ascii="Times New Roman;Times;serif" w:hAnsi="Times New Roman;Times;serif"/>
                <w:sz w:val="20"/>
              </w:rPr>
              <w:t>Represents unrealized losses of $4,106 on the interest rate swaps, net of tax </w:t>
            </w:r>
            <w:r>
              <w:rPr>
                <w:rFonts w:ascii="Times New Roman;Times;serif" w:hAnsi="Times New Roman;Times;serif"/>
                <w:sz w:val="20"/>
                <w:shd w:fill="FFFFFF" w:val="clear"/>
              </w:rPr>
              <w:t>benefit</w:t>
            </w:r>
            <w:r>
              <w:rPr>
                <w:rFonts w:ascii="Times New Roman;Times;serif" w:hAnsi="Times New Roman;Times;serif"/>
                <w:sz w:val="20"/>
              </w:rPr>
              <w:t xml:space="preserve"> of $1,016,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w:t>
            </w:r>
            <w:r>
              <w:rPr>
                <w:rFonts w:ascii="Times New Roman;Times;serif" w:hAnsi="Times New Roman;Times;serif"/>
                <w:sz w:val="20"/>
              </w:rPr>
              <w:t xml:space="preserve"> </w:t>
            </w:r>
            <w:r>
              <w:rPr>
                <w:rStyle w:val="Emphasis"/>
                <w:rFonts w:ascii="Times New Roman;Times;serif" w:hAnsi="Times New Roman;Times;serif"/>
                <w:sz w:val="20"/>
              </w:rPr>
              <w:t>2025.</w:t>
            </w:r>
          </w:p>
        </w:tc>
      </w:tr>
      <w:tr>
        <w:trPr/>
        <w:tc>
          <w:tcPr>
            <w:tcW w:w="60" w:type="dxa"/>
            <w:tcBorders/>
            <w:vAlign w:val="center"/>
          </w:tcPr>
          <w:p>
            <w:pPr>
              <w:pStyle w:val="TableContents"/>
              <w:bidi w:val="0"/>
              <w:spacing w:before="0" w:after="283"/>
              <w:jc w:val="both"/>
              <w:rPr/>
            </w:pPr>
            <w:r>
              <w:rPr/>
              <w:t> </w:t>
            </w:r>
          </w:p>
        </w:tc>
        <w:tc>
          <w:tcPr>
            <w:tcW w:w="214" w:type="dxa"/>
            <w:tcBorders/>
            <w:vAlign w:val="center"/>
          </w:tcPr>
          <w:p>
            <w:pPr>
              <w:pStyle w:val="TableContents"/>
              <w:bidi w:val="0"/>
              <w:spacing w:before="0" w:after="283"/>
              <w:jc w:val="both"/>
              <w:rPr/>
            </w:pPr>
            <w:r>
              <w:rPr/>
              <w:t>(</w:t>
            </w:r>
            <w:r>
              <w:rPr>
                <w:rStyle w:val="Emphasis"/>
              </w:rPr>
              <w:t>5</w:t>
            </w:r>
            <w:r>
              <w:rPr/>
              <w:t>)</w:t>
            </w:r>
          </w:p>
        </w:tc>
        <w:tc>
          <w:tcPr>
            <w:tcW w:w="9931" w:type="dxa"/>
            <w:tcBorders/>
            <w:vAlign w:val="center"/>
          </w:tcPr>
          <w:p>
            <w:pPr>
              <w:pStyle w:val="TableContents"/>
              <w:bidi w:val="0"/>
              <w:spacing w:before="0" w:after="283"/>
              <w:jc w:val="both"/>
              <w:rPr/>
            </w:pPr>
            <w:r>
              <w:rPr/>
              <w:t xml:space="preserve">Represents an unfavorable impact from the strengthening of the U.S. dollar against foreign currencies during the </w:t>
            </w:r>
            <w:r>
              <w:rPr>
                <w:rStyle w:val="Emphasis"/>
              </w:rPr>
              <w:t>six</w:t>
            </w:r>
            <w:r>
              <w:rPr/>
              <w:t xml:space="preserve"> months ended </w:t>
            </w:r>
            <w:r>
              <w:rPr>
                <w:rStyle w:val="Emphasis"/>
              </w:rPr>
              <w:t xml:space="preserve">June 30, 2026, </w:t>
            </w:r>
            <w:r>
              <w:rPr/>
              <w:t>particularly the Euro and British Pound. </w:t>
            </w:r>
          </w:p>
        </w:tc>
      </w:tr>
      <w:tr>
        <w:trPr/>
        <w:tc>
          <w:tcPr>
            <w:tcW w:w="60" w:type="dxa"/>
            <w:tcBorders/>
            <w:vAlign w:val="center"/>
          </w:tcPr>
          <w:p>
            <w:pPr>
              <w:pStyle w:val="TableContents"/>
              <w:bidi w:val="0"/>
              <w:spacing w:before="0" w:after="283"/>
              <w:jc w:val="both"/>
              <w:rPr/>
            </w:pPr>
            <w:r>
              <w:rPr/>
              <w:t> </w:t>
            </w:r>
          </w:p>
        </w:tc>
        <w:tc>
          <w:tcPr>
            <w:tcW w:w="214" w:type="dxa"/>
            <w:tcBorders/>
            <w:vAlign w:val="center"/>
          </w:tcPr>
          <w:p>
            <w:pPr>
              <w:pStyle w:val="TableContents"/>
              <w:bidi w:val="0"/>
              <w:spacing w:before="0" w:after="283"/>
              <w:jc w:val="both"/>
              <w:rPr/>
            </w:pPr>
            <w:r>
              <w:rPr/>
              <w:t>(</w:t>
            </w:r>
            <w:r>
              <w:rPr>
                <w:rStyle w:val="Emphasis"/>
              </w:rPr>
              <w:t>6</w:t>
            </w:r>
            <w:r>
              <w:rPr/>
              <w:t>)</w:t>
            </w:r>
          </w:p>
        </w:tc>
        <w:tc>
          <w:tcPr>
            <w:tcW w:w="9931" w:type="dxa"/>
            <w:tcBorders/>
            <w:vAlign w:val="center"/>
          </w:tcPr>
          <w:p>
            <w:pPr>
              <w:pStyle w:val="TableContents"/>
              <w:bidi w:val="0"/>
              <w:spacing w:before="0" w:after="283"/>
              <w:jc w:val="both"/>
              <w:rPr/>
            </w:pPr>
            <w:r>
              <w:rPr/>
              <w:t xml:space="preserve">Represents unrealized losses of $4,929 on the interest rate swaps, net of tax benefit of $1,221, for the </w:t>
            </w:r>
            <w:r>
              <w:rPr>
                <w:rStyle w:val="Emphasis"/>
              </w:rPr>
              <w:t>six</w:t>
            </w:r>
            <w:r>
              <w:rPr/>
              <w:t xml:space="preserve"> months ended </w:t>
            </w:r>
            <w:r>
              <w:rPr>
                <w:rStyle w:val="Emphasis"/>
              </w:rPr>
              <w:t>June 30, 2026.</w:t>
            </w:r>
          </w:p>
        </w:tc>
      </w:tr>
      <w:tr>
        <w:trPr/>
        <w:tc>
          <w:tcPr>
            <w:tcW w:w="60" w:type="dxa"/>
            <w:tcBorders/>
            <w:vAlign w:val="center"/>
          </w:tcPr>
          <w:p>
            <w:pPr>
              <w:pStyle w:val="TableContents"/>
              <w:bidi w:val="0"/>
              <w:spacing w:before="0" w:after="283"/>
              <w:jc w:val="both"/>
              <w:rPr/>
            </w:pPr>
            <w:r>
              <w:rPr/>
              <w:t> </w:t>
            </w:r>
          </w:p>
        </w:tc>
        <w:tc>
          <w:tcPr>
            <w:tcW w:w="214" w:type="dxa"/>
            <w:tcBorders/>
            <w:vAlign w:val="center"/>
          </w:tcPr>
          <w:p>
            <w:pPr>
              <w:pStyle w:val="TableContents"/>
              <w:bidi w:val="0"/>
              <w:spacing w:before="0" w:after="283"/>
              <w:jc w:val="both"/>
              <w:rPr/>
            </w:pPr>
            <w:r>
              <w:rPr/>
              <w:t>(</w:t>
            </w:r>
            <w:r>
              <w:rPr>
                <w:rStyle w:val="Emphasis"/>
              </w:rPr>
              <w:t>7</w:t>
            </w:r>
            <w:r>
              <w:rPr/>
              <w:t>)</w:t>
            </w:r>
          </w:p>
        </w:tc>
        <w:tc>
          <w:tcPr>
            <w:tcW w:w="9931" w:type="dxa"/>
            <w:tcBorders/>
            <w:vAlign w:val="center"/>
          </w:tcPr>
          <w:p>
            <w:pPr>
              <w:pStyle w:val="TableContents"/>
              <w:bidi w:val="0"/>
              <w:spacing w:before="0" w:after="283"/>
              <w:jc w:val="both"/>
              <w:rPr/>
            </w:pPr>
            <w:r>
              <w:rPr/>
              <w:t xml:space="preserve">Represents unrealized losses of $9,838 on the interest rate swaps, net of tax benefit of $2,435, for the </w:t>
            </w:r>
            <w:r>
              <w:rPr>
                <w:rStyle w:val="Emphasis"/>
              </w:rPr>
              <w:t>six</w:t>
            </w:r>
            <w:r>
              <w:rPr/>
              <w:t xml:space="preserve"> months ended </w:t>
            </w:r>
            <w:r>
              <w:rPr>
                <w:rStyle w:val="Emphasis"/>
              </w:rPr>
              <w:t>June 30, 2025.</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7.</w:t>
      </w:r>
      <w:r>
        <w:rPr>
          <w:rFonts w:ascii="Times New Roman;Times;serif" w:hAnsi="Times New Roman;Times;serif"/>
          <w:b/>
          <w:sz w:val="20"/>
        </w:rPr>
        <w:t xml:space="preserve">   Segment Reporting</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On </w:t>
      </w:r>
      <w:r>
        <w:rPr>
          <w:rStyle w:val="Emphasis"/>
          <w:rFonts w:ascii="Times New Roman;Times;serif" w:hAnsi="Times New Roman;Times;serif"/>
          <w:sz w:val="20"/>
        </w:rPr>
        <w:t xml:space="preserve">March 25, 2026, </w:t>
      </w:r>
      <w:r>
        <w:rPr>
          <w:rFonts w:ascii="Times New Roman;Times;serif" w:hAnsi="Times New Roman;Times;serif"/>
          <w:sz w:val="20"/>
        </w:rPr>
        <w:t xml:space="preserve">the Company announced its plan to reorganize its two reportable segments, effective </w:t>
      </w:r>
      <w:r>
        <w:rPr>
          <w:rStyle w:val="Emphasis"/>
          <w:rFonts w:ascii="Times New Roman;Times;serif" w:hAnsi="Times New Roman;Times;serif"/>
          <w:sz w:val="20"/>
        </w:rPr>
        <w:t>March 31, 2026 (</w:t>
      </w:r>
      <w:r>
        <w:rPr>
          <w:rFonts w:ascii="Times New Roman;Times;serif" w:hAnsi="Times New Roman;Times;serif"/>
          <w:sz w:val="20"/>
        </w:rPr>
        <w:t>the Reorganization). The Company’s Chief Operating Decision Maker (CODM) is Aaron Jagdfeld, President and Chief Executive Officer (CEO). The Reorganization reflected a change in how the CODM evaluates the Company’s operations and performance to better align reporting with the way the business is managed. Prior to the Reorganization, the Company's reportable segments were Domestic and International. As a result of the Reorganization, the Company's new reportable segments are Residential and Commercial &amp; Industrial (C&amp;I).  While Residential and C&amp;I include similar products, they differ based on power output and end customer.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Residential segment consists of the former Domestic segment, excluding the domestic C&amp;I operations.  Residential products consist primarily of automatic home standby generators ranging in output from </w:t>
      </w:r>
      <w:r>
        <w:rPr>
          <w:rStyle w:val="Emphasis"/>
          <w:rFonts w:ascii="Times New Roman;Times;serif" w:hAnsi="Times New Roman;Times;serif"/>
          <w:sz w:val="20"/>
        </w:rPr>
        <w:t>7.5kW</w:t>
      </w:r>
      <w:r>
        <w:rPr>
          <w:rFonts w:ascii="Times New Roman;Times;serif" w:hAnsi="Times New Roman;Times;serif"/>
          <w:sz w:val="20"/>
        </w:rPr>
        <w:t xml:space="preserve"> to </w:t>
      </w:r>
      <w:r>
        <w:rPr>
          <w:rStyle w:val="Emphasis"/>
          <w:rFonts w:ascii="Times New Roman;Times;serif" w:hAnsi="Times New Roman;Times;serif"/>
          <w:sz w:val="20"/>
        </w:rPr>
        <w:t>150kW,</w:t>
      </w:r>
      <w:r>
        <w:rPr>
          <w:rFonts w:ascii="Times New Roman;Times;serif" w:hAnsi="Times New Roman;Times;serif"/>
          <w:sz w:val="20"/>
        </w:rPr>
        <w:t xml:space="preserve"> portable generators, residential energy storage systems, energy management devices and solutions, and other outdoor power equipment. These products are predominantly sold through independent residential dealers, national and regional retailers, e-commerce merchants, electrical/HVAC/solar wholesalers, solar installers, and outdoor power equipment dealers. Residential segment revenue consists of product sales to the Company's distribution partners, who in turn sell the product to the end consumer, sometimes including installation and maintenance services. The Residential segment revenue also includes sales of products and services related to aftermarket service parts, the amortization of extended warranty deferred revenue, grid services revenue, and remote monitoring subscription revenue. In some cases, residential products are sold directly to the end consumer. The majority of Residential segment revenues are recorded at a point in time when control is transferred to the customer. The remaining revenue, primarily related to extended warranty and other subscription services, is recognized over the period the related services are performed.</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The C&amp;I segment consists of the operations of the former International segment with the addition of the domestic Commercial &amp; Industrial operations. Commercial &amp; Industrial products consist of larger output stationary generators used in C&amp;I applications, with power outputs up to </w:t>
      </w:r>
      <w:r>
        <w:rPr>
          <w:rStyle w:val="Emphasis"/>
          <w:rFonts w:ascii="Times New Roman;Times;serif" w:hAnsi="Times New Roman;Times;serif"/>
          <w:sz w:val="20"/>
        </w:rPr>
        <w:t>3,250kW.</w:t>
      </w:r>
      <w:r>
        <w:rPr>
          <w:rFonts w:ascii="Times New Roman;Times;serif" w:hAnsi="Times New Roman;Times;serif"/>
          <w:sz w:val="20"/>
        </w:rPr>
        <w:t xml:space="preserve"> Also included in C&amp;I products are mobile generators, light towers, C&amp;I battery energy storage systems, mobile heaters, mobile pumps, and  related controls for power generation equipment. These products are sold globally through industrial distributors and dealers, Engineering, Procurement, and Construction (EPC) companies, equipment rental companies, and equipment distributors. C&amp;I segment revenue consists of product sales to the Company's distribution partners, who in turn sell or rent the product to the end customer, sometimes including installation and maintenance services. The C&amp;I segment revenue also includes sales of products and services related to aftermarket service parts and product accessories sold to the Company's distribution partners, grid services subscription revenue, as well as certain installation and maintenance service revenue. In some cases, C&amp;I products are sold directly to the end customer. C&amp;I segment revenues are recorded at either a point in time when control of the product is transferred to the customer, or if the performance obligation is satisfied over time, then revenue is recognized using a method that reflects the performance under the contract. Other service revenue is recognized when the services are performed.</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Segment financial information for the prior periods has been recast to conform to the current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 w:hAnsi="Times New Roman"/>
          <w:caps w:val="false"/>
          <w:smallCaps w:val="false"/>
          <w:sz w:val="20"/>
        </w:rPr>
        <w:t>The composition of net sales between Residential and Commercial &amp; Industrial reportable segments is as follows: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849"/>
        <w:gridCol w:w="60"/>
        <w:gridCol w:w="175"/>
        <w:gridCol w:w="1187"/>
        <w:gridCol w:w="61"/>
        <w:gridCol w:w="61"/>
        <w:gridCol w:w="263"/>
        <w:gridCol w:w="1153"/>
        <w:gridCol w:w="81"/>
        <w:gridCol w:w="61"/>
        <w:gridCol w:w="127"/>
        <w:gridCol w:w="864"/>
        <w:gridCol w:w="80"/>
        <w:gridCol w:w="60"/>
        <w:gridCol w:w="175"/>
        <w:gridCol w:w="1187"/>
        <w:gridCol w:w="61"/>
        <w:gridCol w:w="61"/>
        <w:gridCol w:w="263"/>
        <w:gridCol w:w="1153"/>
        <w:gridCol w:w="81"/>
        <w:gridCol w:w="61"/>
        <w:gridCol w:w="127"/>
        <w:gridCol w:w="864"/>
        <w:gridCol w:w="90"/>
      </w:tblGrid>
      <w:tr>
        <w:trPr/>
        <w:tc>
          <w:tcPr>
            <w:tcW w:w="18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6"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 Sales by Reportable Segment</w:t>
            </w:r>
          </w:p>
        </w:tc>
        <w:tc>
          <w:tcPr>
            <w:tcW w:w="90" w:type="dxa"/>
            <w:tcBorders/>
            <w:shd w:fill="FFFFFF" w:val="clear"/>
            <w:vAlign w:val="center"/>
          </w:tcPr>
          <w:p>
            <w:pPr>
              <w:pStyle w:val="TableContents"/>
              <w:bidi w:val="0"/>
              <w:spacing w:before="0" w:after="283"/>
              <w:jc w:val="left"/>
              <w:rPr/>
            </w:pPr>
            <w:r>
              <w:rPr/>
              <w:t> </w:t>
            </w:r>
          </w:p>
        </w:tc>
      </w:tr>
      <w:tr>
        <w:trPr/>
        <w:tc>
          <w:tcPr>
            <w:tcW w:w="18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33"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33"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 2025</w:t>
            </w:r>
          </w:p>
        </w:tc>
        <w:tc>
          <w:tcPr>
            <w:tcW w:w="90" w:type="dxa"/>
            <w:tcBorders/>
            <w:shd w:fill="FFFFFF" w:val="clear"/>
            <w:vAlign w:val="center"/>
          </w:tcPr>
          <w:p>
            <w:pPr>
              <w:pStyle w:val="TableContents"/>
              <w:bidi w:val="0"/>
              <w:spacing w:before="0" w:after="283"/>
              <w:jc w:val="left"/>
              <w:rPr/>
            </w:pPr>
            <w:r>
              <w:rPr/>
              <w:t> </w:t>
            </w:r>
          </w:p>
        </w:tc>
      </w:tr>
      <w:tr>
        <w:trPr/>
        <w:tc>
          <w:tcPr>
            <w:tcW w:w="18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2"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External Net Sales</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416"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Intersegment Sales</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99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 Sales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2"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External Net Sales</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416"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Intersegment Sales</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99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 Sales</w:t>
            </w:r>
          </w:p>
        </w:tc>
        <w:tc>
          <w:tcPr>
            <w:tcW w:w="90" w:type="dxa"/>
            <w:tcBorders/>
            <w:shd w:fill="FFFFFF" w:val="clear"/>
            <w:vAlign w:val="center"/>
          </w:tcPr>
          <w:p>
            <w:pPr>
              <w:pStyle w:val="TableContents"/>
              <w:bidi w:val="0"/>
              <w:spacing w:before="0" w:after="283"/>
              <w:jc w:val="left"/>
              <w:rPr/>
            </w:pPr>
            <w:r>
              <w:rPr/>
              <w:t> </w:t>
            </w:r>
          </w:p>
        </w:tc>
      </w:tr>
      <w:tr>
        <w:trPr/>
        <w:tc>
          <w:tcPr>
            <w:tcW w:w="184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Residential</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617,022</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2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4,241</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621,263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630,594</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2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4,124</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634,718</w:t>
            </w:r>
          </w:p>
        </w:tc>
        <w:tc>
          <w:tcPr>
            <w:tcW w:w="90" w:type="dxa"/>
            <w:tcBorders/>
            <w:shd w:fill="CCEEFF" w:val="clear"/>
            <w:vAlign w:val="center"/>
          </w:tcPr>
          <w:p>
            <w:pPr>
              <w:pStyle w:val="TableContents"/>
              <w:bidi w:val="0"/>
              <w:spacing w:before="0" w:after="283"/>
              <w:jc w:val="left"/>
              <w:rPr/>
            </w:pPr>
            <w:r>
              <w:rPr/>
              <w:t> </w:t>
            </w:r>
          </w:p>
        </w:tc>
      </w:tr>
      <w:tr>
        <w:trPr/>
        <w:tc>
          <w:tcPr>
            <w:tcW w:w="184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&amp; Industrial</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11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556,488</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ind w:left="0" w:right="0" w:hanging="0"/>
              <w:jc w:val="left"/>
              <w:rPr/>
            </w:pPr>
            <w:r>
              <w:rPr/>
              <w:t> </w:t>
            </w:r>
          </w:p>
        </w:tc>
        <w:tc>
          <w:tcPr>
            <w:tcW w:w="11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556,490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11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430,575</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ind w:left="0" w:right="0" w:hanging="0"/>
              <w:jc w:val="left"/>
              <w:rPr/>
            </w:pPr>
            <w:r>
              <w:rPr/>
              <w:t> </w:t>
            </w:r>
          </w:p>
        </w:tc>
        <w:tc>
          <w:tcPr>
            <w:tcW w:w="11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430,575</w:t>
            </w:r>
          </w:p>
        </w:tc>
        <w:tc>
          <w:tcPr>
            <w:tcW w:w="90" w:type="dxa"/>
            <w:tcBorders/>
            <w:shd w:fill="FFFFFF" w:val="clear"/>
            <w:vAlign w:val="center"/>
          </w:tcPr>
          <w:p>
            <w:pPr>
              <w:pStyle w:val="TableContents"/>
              <w:bidi w:val="0"/>
              <w:spacing w:before="0" w:after="283"/>
              <w:jc w:val="left"/>
              <w:rPr/>
            </w:pPr>
            <w:r>
              <w:rPr/>
              <w:t> </w:t>
            </w:r>
          </w:p>
        </w:tc>
      </w:tr>
      <w:tr>
        <w:trPr/>
        <w:tc>
          <w:tcPr>
            <w:tcW w:w="184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Intercompany eliminations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(4,243</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(4,124</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(4,124</w:t>
            </w:r>
          </w:p>
        </w:tc>
        <w:tc>
          <w:tcPr>
            <w:tcW w:w="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4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1,173,510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2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1,173,510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1,061,169</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2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1,061,169</w:t>
            </w:r>
          </w:p>
        </w:tc>
        <w:tc>
          <w:tcPr>
            <w:tcW w:w="9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868"/>
        <w:gridCol w:w="60"/>
        <w:gridCol w:w="176"/>
        <w:gridCol w:w="1196"/>
        <w:gridCol w:w="60"/>
        <w:gridCol w:w="60"/>
        <w:gridCol w:w="265"/>
        <w:gridCol w:w="1159"/>
        <w:gridCol w:w="80"/>
        <w:gridCol w:w="60"/>
        <w:gridCol w:w="125"/>
        <w:gridCol w:w="845"/>
        <w:gridCol w:w="80"/>
        <w:gridCol w:w="60"/>
        <w:gridCol w:w="176"/>
        <w:gridCol w:w="1196"/>
        <w:gridCol w:w="60"/>
        <w:gridCol w:w="60"/>
        <w:gridCol w:w="265"/>
        <w:gridCol w:w="1159"/>
        <w:gridCol w:w="80"/>
        <w:gridCol w:w="60"/>
        <w:gridCol w:w="125"/>
        <w:gridCol w:w="845"/>
        <w:gridCol w:w="85"/>
      </w:tblGrid>
      <w:tr>
        <w:trPr/>
        <w:tc>
          <w:tcPr>
            <w:tcW w:w="18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92"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 Sales by Reportable Segment</w:t>
            </w:r>
          </w:p>
        </w:tc>
        <w:tc>
          <w:tcPr>
            <w:tcW w:w="85" w:type="dxa"/>
            <w:tcBorders/>
            <w:shd w:fill="FFFFFF" w:val="clear"/>
            <w:vAlign w:val="center"/>
          </w:tcPr>
          <w:p>
            <w:pPr>
              <w:pStyle w:val="TableContents"/>
              <w:bidi w:val="0"/>
              <w:spacing w:before="0" w:after="283"/>
              <w:jc w:val="left"/>
              <w:rPr/>
            </w:pPr>
            <w:r>
              <w:rPr/>
              <w:t> </w:t>
            </w:r>
          </w:p>
        </w:tc>
      </w:tr>
      <w:tr>
        <w:trPr/>
        <w:tc>
          <w:tcPr>
            <w:tcW w:w="18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26"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26"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 2025</w:t>
            </w:r>
          </w:p>
        </w:tc>
        <w:tc>
          <w:tcPr>
            <w:tcW w:w="85" w:type="dxa"/>
            <w:tcBorders/>
            <w:shd w:fill="FFFFFF" w:val="clear"/>
            <w:vAlign w:val="center"/>
          </w:tcPr>
          <w:p>
            <w:pPr>
              <w:pStyle w:val="TableContents"/>
              <w:bidi w:val="0"/>
              <w:spacing w:before="0" w:after="283"/>
              <w:jc w:val="left"/>
              <w:rPr/>
            </w:pPr>
            <w:r>
              <w:rPr/>
              <w:t> </w:t>
            </w:r>
          </w:p>
        </w:tc>
      </w:tr>
      <w:tr>
        <w:trPr/>
        <w:tc>
          <w:tcPr>
            <w:tcW w:w="18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External Net Sales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Intersegment Sales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 Sales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External Net Sales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Intersegment Sales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 Sales</w:t>
            </w:r>
          </w:p>
        </w:tc>
        <w:tc>
          <w:tcPr>
            <w:tcW w:w="85" w:type="dxa"/>
            <w:tcBorders/>
            <w:shd w:fill="FFFFFF" w:val="clear"/>
            <w:vAlign w:val="center"/>
          </w:tcPr>
          <w:p>
            <w:pPr>
              <w:pStyle w:val="TableContents"/>
              <w:bidi w:val="0"/>
              <w:spacing w:before="0" w:after="283"/>
              <w:jc w:val="left"/>
              <w:rPr/>
            </w:pPr>
            <w:r>
              <w:rPr/>
              <w:t> </w:t>
            </w:r>
          </w:p>
        </w:tc>
      </w:tr>
      <w:tr>
        <w:trPr/>
        <w:tc>
          <w:tcPr>
            <w:tcW w:w="186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Residential</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1,166,338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1,173,446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1,173,709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1,183,381</w:t>
            </w:r>
          </w:p>
        </w:tc>
        <w:tc>
          <w:tcPr>
            <w:tcW w:w="85" w:type="dxa"/>
            <w:tcBorders/>
            <w:shd w:fill="CCEEFF" w:val="clear"/>
            <w:vAlign w:val="center"/>
          </w:tcPr>
          <w:p>
            <w:pPr>
              <w:pStyle w:val="TableContents"/>
              <w:bidi w:val="0"/>
              <w:spacing w:before="0" w:after="283"/>
              <w:jc w:val="left"/>
              <w:rPr/>
            </w:pPr>
            <w:r>
              <w:rPr/>
              <w:t> </w:t>
            </w:r>
          </w:p>
        </w:tc>
      </w:tr>
      <w:tr>
        <w:trPr/>
        <w:tc>
          <w:tcPr>
            <w:tcW w:w="186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&amp; Industrial</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11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1,066,537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ind w:left="0" w:right="0" w:hanging="0"/>
              <w:jc w:val="left"/>
              <w:rPr/>
            </w:pPr>
            <w:r>
              <w:rPr/>
              <w:t> </w:t>
            </w:r>
          </w:p>
        </w:tc>
        <w:tc>
          <w:tcPr>
            <w:tcW w:w="11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1,066,588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11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829,581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ind w:left="0" w:right="0" w:hanging="0"/>
              <w:jc w:val="left"/>
              <w:rPr/>
            </w:pPr>
            <w:r>
              <w:rPr/>
              <w:t> </w:t>
            </w:r>
          </w:p>
        </w:tc>
        <w:tc>
          <w:tcPr>
            <w:tcW w:w="11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829,581</w:t>
            </w:r>
          </w:p>
        </w:tc>
        <w:tc>
          <w:tcPr>
            <w:tcW w:w="85" w:type="dxa"/>
            <w:tcBorders/>
            <w:shd w:fill="FFFFFF" w:val="clear"/>
            <w:vAlign w:val="center"/>
          </w:tcPr>
          <w:p>
            <w:pPr>
              <w:pStyle w:val="TableContents"/>
              <w:bidi w:val="0"/>
              <w:spacing w:before="0" w:after="283"/>
              <w:jc w:val="left"/>
              <w:rPr/>
            </w:pPr>
            <w:r>
              <w:rPr/>
              <w:t> </w:t>
            </w:r>
          </w:p>
        </w:tc>
      </w:tr>
      <w:tr>
        <w:trPr/>
        <w:tc>
          <w:tcPr>
            <w:tcW w:w="186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Intercompany eliminations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(7,159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(7,159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(9,672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(9,672</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6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2,232,875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2,232,875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2,003,290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2,003,290</w:t>
            </w:r>
          </w:p>
        </w:tc>
        <w:tc>
          <w:tcPr>
            <w:tcW w:w="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The Company views Adjusted EBITDA as a key measure of the Company's performance. The computation of Adjusted EBITDA is based primarily on the definition that is contained in the Company’s credit agreements. The Company presents Adjusted EBITDA </w:t>
      </w:r>
      <w:r>
        <w:rPr>
          <w:rStyle w:val="Emphasis"/>
          <w:rFonts w:ascii="Times New Roman;Times;serif" w:hAnsi="Times New Roman;Times;serif"/>
          <w:sz w:val="20"/>
        </w:rPr>
        <w:t>not</w:t>
      </w:r>
      <w:r>
        <w:rPr>
          <w:rFonts w:ascii="Times New Roman;Times;serif" w:hAnsi="Times New Roman;Times;serif"/>
          <w:sz w:val="20"/>
        </w:rPr>
        <w:t xml:space="preserve"> only due to its importance for purposes of the Company's credit agreements, but also because it assists the Company in comparing performance across reporting periods on a consistent basis as it excludes items the Company's management believes are </w:t>
      </w:r>
      <w:r>
        <w:rPr>
          <w:rStyle w:val="Emphasis"/>
          <w:rFonts w:ascii="Times New Roman;Times;serif" w:hAnsi="Times New Roman;Times;serif"/>
          <w:sz w:val="20"/>
        </w:rPr>
        <w:t>not</w:t>
      </w:r>
      <w:r>
        <w:rPr>
          <w:rFonts w:ascii="Times New Roman;Times;serif" w:hAnsi="Times New Roman;Times;serif"/>
          <w:sz w:val="20"/>
        </w:rPr>
        <w:t xml:space="preserve"> indicative of the Company's core operating performance. The CODM uses Adjusted EBITDA, along with the Company's management: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283"/>
              <w:jc w:val="both"/>
              <w:rPr/>
            </w:pPr>
            <w:r>
              <w:rPr/>
              <w:t>for planning purposes, including the preparation of the Company's annual operating budget and developing and refining internal projections for future periods;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to allocate resources to enhance the financial performance of the Company's business;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as a target for the determination of the bonus component of compensation for the Company's senior executives under the Company's management incentive plan, as described further in the Company's proxy statement;</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to evaluate the effectiveness of the Company's business strategies and as a tool in evaluating the Company's performance against the Company's budget for each period; and</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in communications with the Company's Board of Directors and investors concerning the Company's financial performance.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table below presents sales (external and intersegment), significant segment expenses, other segment items, and Adjusted EBITDA by reportable segment, reconciled to consolidated income before provision for income taxes. </w:t>
      </w:r>
    </w:p>
    <w:p>
      <w:pPr>
        <w:pStyle w:val="TextBody"/>
        <w:bidi w:val="0"/>
        <w:spacing w:before="0" w:after="0"/>
        <w:ind w:left="0" w:right="0" w:hanging="0"/>
        <w:jc w:val="both"/>
        <w:rPr/>
      </w:pPr>
      <w:r>
        <w:rPr/>
        <w:t> </w:t>
      </w:r>
    </w:p>
    <w:tbl>
      <w:tblPr>
        <w:tblW w:w="10820" w:type="dxa"/>
        <w:jc w:val="left"/>
        <w:tblInd w:w="0" w:type="dxa"/>
        <w:tblLayout w:type="fixed"/>
        <w:tblCellMar>
          <w:top w:w="0" w:type="dxa"/>
          <w:left w:w="0" w:type="dxa"/>
          <w:bottom w:w="0" w:type="dxa"/>
          <w:right w:w="0" w:type="dxa"/>
        </w:tblCellMar>
      </w:tblPr>
      <w:tblGrid>
        <w:gridCol w:w="1160"/>
        <w:gridCol w:w="60"/>
        <w:gridCol w:w="147"/>
        <w:gridCol w:w="818"/>
        <w:gridCol w:w="80"/>
        <w:gridCol w:w="60"/>
        <w:gridCol w:w="158"/>
        <w:gridCol w:w="882"/>
        <w:gridCol w:w="80"/>
        <w:gridCol w:w="60"/>
        <w:gridCol w:w="241"/>
        <w:gridCol w:w="1054"/>
        <w:gridCol w:w="80"/>
        <w:gridCol w:w="60"/>
        <w:gridCol w:w="125"/>
        <w:gridCol w:w="845"/>
        <w:gridCol w:w="80"/>
        <w:gridCol w:w="60"/>
        <w:gridCol w:w="147"/>
        <w:gridCol w:w="818"/>
        <w:gridCol w:w="80"/>
        <w:gridCol w:w="60"/>
        <w:gridCol w:w="158"/>
        <w:gridCol w:w="882"/>
        <w:gridCol w:w="80"/>
        <w:gridCol w:w="60"/>
        <w:gridCol w:w="208"/>
        <w:gridCol w:w="1087"/>
        <w:gridCol w:w="80"/>
        <w:gridCol w:w="60"/>
        <w:gridCol w:w="125"/>
        <w:gridCol w:w="845"/>
        <w:gridCol w:w="80"/>
      </w:tblGrid>
      <w:tr>
        <w:trPr/>
        <w:tc>
          <w:tcPr>
            <w:tcW w:w="1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90"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90"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 2025</w:t>
            </w:r>
          </w:p>
        </w:tc>
        <w:tc>
          <w:tcPr>
            <w:tcW w:w="80" w:type="dxa"/>
            <w:tcBorders/>
            <w:shd w:fill="FFFFFF" w:val="clear"/>
            <w:vAlign w:val="center"/>
          </w:tcPr>
          <w:p>
            <w:pPr>
              <w:pStyle w:val="TableContents"/>
              <w:bidi w:val="0"/>
              <w:spacing w:before="0" w:after="283"/>
              <w:jc w:val="left"/>
              <w:rPr/>
            </w:pPr>
            <w:r>
              <w:rPr/>
              <w:t> </w:t>
            </w:r>
          </w:p>
        </w:tc>
      </w:tr>
      <w:tr>
        <w:trPr/>
        <w:tc>
          <w:tcPr>
            <w:tcW w:w="1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Residential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Commercial &amp; Industrial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Corporate &amp; Eliminations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Residential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Commercial &amp; Industrial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Corporate &amp; Eliminations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0" w:type="dxa"/>
            <w:tcBorders/>
            <w:shd w:fill="FFFFFF" w:val="clear"/>
            <w:vAlign w:val="center"/>
          </w:tcPr>
          <w:p>
            <w:pPr>
              <w:pStyle w:val="TableContents"/>
              <w:bidi w:val="0"/>
              <w:spacing w:before="0" w:after="283"/>
              <w:jc w:val="left"/>
              <w:rPr/>
            </w:pPr>
            <w:r>
              <w:rPr/>
              <w:t> </w:t>
            </w:r>
          </w:p>
        </w:tc>
      </w:tr>
      <w:tr>
        <w:trPr/>
        <w:tc>
          <w:tcPr>
            <w:tcW w:w="1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External 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617,022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556,488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1,173,510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630,594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430,575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1,061,169</w:t>
            </w:r>
          </w:p>
        </w:tc>
        <w:tc>
          <w:tcPr>
            <w:tcW w:w="80" w:type="dxa"/>
            <w:tcBorders/>
            <w:shd w:fill="CCEEFF" w:val="clear"/>
            <w:vAlign w:val="center"/>
          </w:tcPr>
          <w:p>
            <w:pPr>
              <w:pStyle w:val="TableContents"/>
              <w:bidi w:val="0"/>
              <w:spacing w:before="0" w:after="283"/>
              <w:jc w:val="left"/>
              <w:rPr/>
            </w:pPr>
            <w:r>
              <w:rPr/>
              <w:t> </w:t>
            </w:r>
          </w:p>
        </w:tc>
      </w:tr>
      <w:tr>
        <w:trPr/>
        <w:tc>
          <w:tcPr>
            <w:tcW w:w="11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Intersegment sales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4,124</w:t>
            </w:r>
          </w:p>
        </w:tc>
        <w:tc>
          <w:tcPr>
            <w:tcW w:w="80" w:type="dxa"/>
            <w:tcBorders/>
            <w:shd w:fill="FFFFFF" w:val="clear"/>
            <w:vAlign w:val="center"/>
          </w:tcPr>
          <w:p>
            <w:pPr>
              <w:pStyle w:val="TableContents"/>
              <w:bidi w:val="0"/>
              <w:spacing w:before="0" w:after="283"/>
              <w:jc w:val="left"/>
              <w:rPr/>
            </w:pPr>
            <w:r>
              <w:rPr/>
              <w:t> </w:t>
            </w:r>
          </w:p>
        </w:tc>
      </w:tr>
      <w:tr>
        <w:trPr/>
        <w:tc>
          <w:tcPr>
            <w:tcW w:w="1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sales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621,263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556,490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1054"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1,177,753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634,718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430,575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1,065,293</w:t>
            </w:r>
          </w:p>
        </w:tc>
        <w:tc>
          <w:tcPr>
            <w:tcW w:w="80" w:type="dxa"/>
            <w:tcBorders/>
            <w:shd w:fill="CCEEFF" w:val="clear"/>
            <w:vAlign w:val="center"/>
          </w:tcPr>
          <w:p>
            <w:pPr>
              <w:pStyle w:val="TableContents"/>
              <w:bidi w:val="0"/>
              <w:spacing w:before="0" w:after="283"/>
              <w:jc w:val="left"/>
              <w:rPr/>
            </w:pPr>
            <w:r>
              <w:rPr/>
              <w:t> </w:t>
            </w:r>
          </w:p>
        </w:tc>
      </w:tr>
      <w:tr>
        <w:trPr/>
        <w:tc>
          <w:tcPr>
            <w:tcW w:w="11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Elimination of intersegment sales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of goods sold</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259,692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396,250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1054"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655,942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335,113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313,431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648,544</w:t>
            </w:r>
          </w:p>
        </w:tc>
        <w:tc>
          <w:tcPr>
            <w:tcW w:w="80" w:type="dxa"/>
            <w:tcBorders/>
            <w:shd w:fill="CCEEFF" w:val="clear"/>
            <w:vAlign w:val="center"/>
          </w:tcPr>
          <w:p>
            <w:pPr>
              <w:pStyle w:val="TableContents"/>
              <w:bidi w:val="0"/>
              <w:spacing w:before="0" w:after="283"/>
              <w:jc w:val="left"/>
              <w:rPr/>
            </w:pPr>
            <w:r>
              <w:rPr/>
              <w:t> </w:t>
            </w:r>
          </w:p>
        </w:tc>
      </w:tr>
      <w:tr>
        <w:trPr/>
        <w:tc>
          <w:tcPr>
            <w:tcW w:w="11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Elimination of intersegment cost of goods sold</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187,926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114,870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10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311,378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197,990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89,226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304,960</w:t>
            </w:r>
          </w:p>
        </w:tc>
        <w:tc>
          <w:tcPr>
            <w:tcW w:w="80" w:type="dxa"/>
            <w:tcBorders/>
            <w:shd w:fill="CCEEFF" w:val="clear"/>
            <w:vAlign w:val="center"/>
          </w:tcPr>
          <w:p>
            <w:pPr>
              <w:pStyle w:val="TableContents"/>
              <w:bidi w:val="0"/>
              <w:spacing w:before="0" w:after="283"/>
              <w:jc w:val="left"/>
              <w:rPr/>
            </w:pPr>
            <w:r>
              <w:rPr/>
              <w:t> </w:t>
            </w:r>
          </w:p>
        </w:tc>
      </w:tr>
      <w:tr>
        <w:trPr/>
        <w:tc>
          <w:tcPr>
            <w:tcW w:w="11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 (1)</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(41,744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(36,114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(80,291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(44,809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(75,840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 by reportable segment</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215,389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81,484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290,724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146,424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(12,137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187,629</w:t>
            </w:r>
          </w:p>
        </w:tc>
        <w:tc>
          <w:tcPr>
            <w:tcW w:w="80" w:type="dxa"/>
            <w:tcBorders/>
            <w:shd w:fill="CCEEFF" w:val="clear"/>
            <w:vAlign w:val="center"/>
          </w:tcPr>
          <w:p>
            <w:pPr>
              <w:pStyle w:val="TableContents"/>
              <w:bidi w:val="0"/>
              <w:spacing w:before="0" w:after="283"/>
              <w:jc w:val="left"/>
              <w:rPr/>
            </w:pPr>
            <w:r>
              <w:rPr/>
              <w:t> </w:t>
            </w:r>
          </w:p>
        </w:tc>
      </w:tr>
      <w:tr>
        <w:trPr/>
        <w:tc>
          <w:tcPr>
            <w:tcW w:w="11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(16,787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write-down and other adjustments (2)</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share-based compensation expense (3)</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Transaction costs and credit facility fees (4)</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Business optimization and other charges (5)</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legal, regulatory, and other costs (6)</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investment (7)</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(8)</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(12,702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provision for income taxes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189,706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89,852</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830" w:type="dxa"/>
        <w:jc w:val="left"/>
        <w:tblInd w:w="0" w:type="dxa"/>
        <w:tblLayout w:type="fixed"/>
        <w:tblCellMar>
          <w:top w:w="0" w:type="dxa"/>
          <w:left w:w="0" w:type="dxa"/>
          <w:bottom w:w="0" w:type="dxa"/>
          <w:right w:w="0" w:type="dxa"/>
        </w:tblCellMar>
      </w:tblPr>
      <w:tblGrid>
        <w:gridCol w:w="1160"/>
        <w:gridCol w:w="60"/>
        <w:gridCol w:w="125"/>
        <w:gridCol w:w="845"/>
        <w:gridCol w:w="80"/>
        <w:gridCol w:w="60"/>
        <w:gridCol w:w="134"/>
        <w:gridCol w:w="906"/>
        <w:gridCol w:w="80"/>
        <w:gridCol w:w="60"/>
        <w:gridCol w:w="208"/>
        <w:gridCol w:w="1087"/>
        <w:gridCol w:w="80"/>
        <w:gridCol w:w="60"/>
        <w:gridCol w:w="125"/>
        <w:gridCol w:w="845"/>
        <w:gridCol w:w="80"/>
        <w:gridCol w:w="60"/>
        <w:gridCol w:w="125"/>
        <w:gridCol w:w="845"/>
        <w:gridCol w:w="80"/>
        <w:gridCol w:w="60"/>
        <w:gridCol w:w="158"/>
        <w:gridCol w:w="882"/>
        <w:gridCol w:w="80"/>
        <w:gridCol w:w="60"/>
        <w:gridCol w:w="208"/>
        <w:gridCol w:w="1087"/>
        <w:gridCol w:w="80"/>
        <w:gridCol w:w="60"/>
        <w:gridCol w:w="125"/>
        <w:gridCol w:w="845"/>
        <w:gridCol w:w="80"/>
      </w:tblGrid>
      <w:tr>
        <w:trPr/>
        <w:tc>
          <w:tcPr>
            <w:tcW w:w="1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9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9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 2025</w:t>
            </w:r>
          </w:p>
        </w:tc>
        <w:tc>
          <w:tcPr>
            <w:tcW w:w="80" w:type="dxa"/>
            <w:tcBorders/>
            <w:shd w:fill="FFFFFF" w:val="clear"/>
            <w:vAlign w:val="center"/>
          </w:tcPr>
          <w:p>
            <w:pPr>
              <w:pStyle w:val="TableContents"/>
              <w:bidi w:val="0"/>
              <w:spacing w:before="0" w:after="283"/>
              <w:jc w:val="left"/>
              <w:rPr/>
            </w:pPr>
            <w:r>
              <w:rPr/>
              <w:t> </w:t>
            </w:r>
          </w:p>
        </w:tc>
      </w:tr>
      <w:tr>
        <w:trPr/>
        <w:tc>
          <w:tcPr>
            <w:tcW w:w="1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Residential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Commercial &amp; Industrial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Corporate &amp; Eliminations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Residential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Commercial &amp; Industrial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Corporate &amp; Eliminations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0" w:type="dxa"/>
            <w:tcBorders/>
            <w:shd w:fill="FFFFFF" w:val="clear"/>
            <w:vAlign w:val="center"/>
          </w:tcPr>
          <w:p>
            <w:pPr>
              <w:pStyle w:val="TableContents"/>
              <w:bidi w:val="0"/>
              <w:spacing w:before="0" w:after="283"/>
              <w:jc w:val="left"/>
              <w:rPr/>
            </w:pPr>
            <w:r>
              <w:rPr/>
              <w:t> </w:t>
            </w:r>
          </w:p>
        </w:tc>
      </w:tr>
      <w:tr>
        <w:trPr/>
        <w:tc>
          <w:tcPr>
            <w:tcW w:w="1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External 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1,166,338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1,066,537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2,232,875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1,173,709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829,581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2,003,290</w:t>
            </w:r>
          </w:p>
        </w:tc>
        <w:tc>
          <w:tcPr>
            <w:tcW w:w="80" w:type="dxa"/>
            <w:tcBorders/>
            <w:shd w:fill="CCEEFF" w:val="clear"/>
            <w:vAlign w:val="center"/>
          </w:tcPr>
          <w:p>
            <w:pPr>
              <w:pStyle w:val="TableContents"/>
              <w:bidi w:val="0"/>
              <w:spacing w:before="0" w:after="283"/>
              <w:jc w:val="left"/>
              <w:rPr/>
            </w:pPr>
            <w:r>
              <w:rPr/>
              <w:t> </w:t>
            </w:r>
          </w:p>
        </w:tc>
      </w:tr>
      <w:tr>
        <w:trPr/>
        <w:tc>
          <w:tcPr>
            <w:tcW w:w="11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Intersegment sales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9,672</w:t>
            </w:r>
          </w:p>
        </w:tc>
        <w:tc>
          <w:tcPr>
            <w:tcW w:w="80" w:type="dxa"/>
            <w:tcBorders/>
            <w:shd w:fill="FFFFFF" w:val="clear"/>
            <w:vAlign w:val="center"/>
          </w:tcPr>
          <w:p>
            <w:pPr>
              <w:pStyle w:val="TableContents"/>
              <w:bidi w:val="0"/>
              <w:spacing w:before="0" w:after="283"/>
              <w:jc w:val="left"/>
              <w:rPr/>
            </w:pPr>
            <w:r>
              <w:rPr/>
              <w:t> </w:t>
            </w:r>
          </w:p>
        </w:tc>
      </w:tr>
      <w:tr>
        <w:trPr/>
        <w:tc>
          <w:tcPr>
            <w:tcW w:w="1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sales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1,173,446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1,066,588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2,240,034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1,183,381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829,581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2,012,962</w:t>
            </w:r>
          </w:p>
        </w:tc>
        <w:tc>
          <w:tcPr>
            <w:tcW w:w="80" w:type="dxa"/>
            <w:tcBorders/>
            <w:shd w:fill="CCEEFF" w:val="clear"/>
            <w:vAlign w:val="center"/>
          </w:tcPr>
          <w:p>
            <w:pPr>
              <w:pStyle w:val="TableContents"/>
              <w:bidi w:val="0"/>
              <w:spacing w:before="0" w:after="283"/>
              <w:jc w:val="left"/>
              <w:rPr/>
            </w:pPr>
            <w:r>
              <w:rPr/>
              <w:t> </w:t>
            </w:r>
          </w:p>
        </w:tc>
      </w:tr>
      <w:tr>
        <w:trPr/>
        <w:tc>
          <w:tcPr>
            <w:tcW w:w="11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Elimination of intersegment sales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(7,159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(7,159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(9,672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(9,672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of goods sold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540,647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767,340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1,307,987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625,015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599,212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1,224,227</w:t>
            </w:r>
          </w:p>
        </w:tc>
        <w:tc>
          <w:tcPr>
            <w:tcW w:w="80" w:type="dxa"/>
            <w:tcBorders/>
            <w:shd w:fill="CCEEFF" w:val="clear"/>
            <w:vAlign w:val="center"/>
          </w:tcPr>
          <w:p>
            <w:pPr>
              <w:pStyle w:val="TableContents"/>
              <w:bidi w:val="0"/>
              <w:spacing w:before="0" w:after="283"/>
              <w:jc w:val="left"/>
              <w:rPr/>
            </w:pPr>
            <w:r>
              <w:rPr/>
              <w:t> </w:t>
            </w:r>
          </w:p>
        </w:tc>
      </w:tr>
      <w:tr>
        <w:trPr/>
        <w:tc>
          <w:tcPr>
            <w:tcW w:w="11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Elimination of intersegment cost of goods sold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(7,159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(7,159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(9,672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(9,672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364,543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217,351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604,323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383,218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179,599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593,308</w:t>
            </w:r>
          </w:p>
        </w:tc>
        <w:tc>
          <w:tcPr>
            <w:tcW w:w="80" w:type="dxa"/>
            <w:tcBorders/>
            <w:shd w:fill="CCEEFF" w:val="clear"/>
            <w:vAlign w:val="center"/>
          </w:tcPr>
          <w:p>
            <w:pPr>
              <w:pStyle w:val="TableContents"/>
              <w:bidi w:val="0"/>
              <w:spacing w:before="0" w:after="283"/>
              <w:jc w:val="left"/>
              <w:rPr/>
            </w:pPr>
            <w:r>
              <w:rPr/>
              <w:t> </w:t>
            </w:r>
          </w:p>
        </w:tc>
      </w:tr>
      <w:tr>
        <w:trPr/>
        <w:tc>
          <w:tcPr>
            <w:tcW w:w="11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 (1)</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(85,718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(66,119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(156,481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(82,865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(47,918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(10,965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(141,748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 by reportable segment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353,974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148,016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(17,785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484,205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258,013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98,688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337,175</w:t>
            </w:r>
          </w:p>
        </w:tc>
        <w:tc>
          <w:tcPr>
            <w:tcW w:w="80" w:type="dxa"/>
            <w:tcBorders/>
            <w:shd w:fill="CCEEFF" w:val="clear"/>
            <w:vAlign w:val="center"/>
          </w:tcPr>
          <w:p>
            <w:pPr>
              <w:pStyle w:val="TableContents"/>
              <w:bidi w:val="0"/>
              <w:spacing w:before="0" w:after="283"/>
              <w:jc w:val="left"/>
              <w:rPr/>
            </w:pPr>
            <w:r>
              <w:rPr/>
              <w:t> </w:t>
            </w:r>
          </w:p>
        </w:tc>
      </w:tr>
      <w:tr>
        <w:trPr/>
        <w:tc>
          <w:tcPr>
            <w:tcW w:w="11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(32,163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(35,352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(114,384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(94,462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write-down and other adjustments (2)</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share-based compensation expense (3)</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(27,447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(26,360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Transaction costs and credit facility fees (4)</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Business optimization and other charges (5)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legal, regulatory, and other costs (6)</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(8,662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investment (7)</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(8)</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(17,632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provision for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286,465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148,366</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8"/>
        <w:gridCol w:w="9967"/>
      </w:tblGrid>
      <w:tr>
        <w:trPr/>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w:t>
            </w:r>
          </w:p>
        </w:tc>
        <w:tc>
          <w:tcPr>
            <w:tcW w:w="9967" w:type="dxa"/>
            <w:tcBorders/>
            <w:vAlign w:val="center"/>
          </w:tcPr>
          <w:p>
            <w:pPr>
              <w:pStyle w:val="TableContents"/>
              <w:bidi w:val="0"/>
              <w:spacing w:before="0" w:after="283"/>
              <w:jc w:val="both"/>
              <w:rPr/>
            </w:pPr>
            <w:r>
              <w:rPr/>
              <w:t xml:space="preserve">The 'Corporate &amp; Eliminations' column includes general corporate overhead, centrally managed costs </w:t>
            </w:r>
            <w:r>
              <w:rPr>
                <w:rStyle w:val="Emphasis"/>
              </w:rPr>
              <w:t>not</w:t>
            </w:r>
            <w:r>
              <w:rPr/>
              <w:t xml:space="preserve"> allocated to the reportable segments, and the elimination of intersegment revenues and cost of goods sold. These costs primarily relate to certain legal, accounting, human resources, technology functions, and other costs related to the Corporate headquarters.</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60"/>
        <w:gridCol w:w="174"/>
        <w:gridCol w:w="9971"/>
      </w:tblGrid>
      <w:tr>
        <w:trPr/>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w:t>
            </w:r>
            <w:r>
              <w:rPr>
                <w:rStyle w:val="Emphasis"/>
              </w:rPr>
              <w:t>1</w:t>
            </w:r>
            <w:r>
              <w:rPr/>
              <w:t>)</w:t>
            </w:r>
          </w:p>
        </w:tc>
        <w:tc>
          <w:tcPr>
            <w:tcW w:w="9971" w:type="dxa"/>
            <w:tcBorders/>
            <w:vAlign w:val="center"/>
          </w:tcPr>
          <w:p>
            <w:pPr>
              <w:pStyle w:val="TableContents"/>
              <w:bidi w:val="0"/>
              <w:spacing w:before="0" w:after="283"/>
              <w:jc w:val="both"/>
              <w:rPr/>
            </w:pPr>
            <w:r>
              <w:rPr/>
              <w:t>Other segment items primarily represent depreciation and amortization and the following items defined below: Non-cash write-down and other adjustments; Non-cash shared-based compensation expense; Transaction costs and credit facility fees; Business optimization and other charges; and Provision for legal, regulatory, and other costs. </w:t>
            </w:r>
          </w:p>
        </w:tc>
      </w:tr>
      <w:tr>
        <w:trPr/>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ind w:left="0" w:right="0" w:hanging="0"/>
              <w:jc w:val="both"/>
              <w:rPr/>
            </w:pPr>
            <w:r>
              <w:rPr>
                <w:rFonts w:ascii="Times New Roman;Times;serif" w:hAnsi="Times New Roman;Times;serif"/>
                <w:sz w:val="20"/>
              </w:rPr>
              <w:t>(</w:t>
            </w:r>
            <w:r>
              <w:rPr>
                <w:rStyle w:val="Emphasis"/>
                <w:rFonts w:ascii="Times New Roman;Times;serif" w:hAnsi="Times New Roman;Times;serif"/>
                <w:sz w:val="20"/>
              </w:rPr>
              <w:t>2</w:t>
            </w:r>
            <w:r>
              <w:rPr>
                <w:rFonts w:ascii="Times New Roman;Times;serif" w:hAnsi="Times New Roman;Times;serif"/>
                <w:sz w:val="20"/>
              </w:rPr>
              <w:t>)</w:t>
            </w:r>
          </w:p>
        </w:tc>
        <w:tc>
          <w:tcPr>
            <w:tcW w:w="9971" w:type="dxa"/>
            <w:tcBorders/>
            <w:vAlign w:val="center"/>
          </w:tcPr>
          <w:p>
            <w:pPr>
              <w:pStyle w:val="TableContents"/>
              <w:bidi w:val="0"/>
              <w:spacing w:before="0" w:after="283"/>
              <w:jc w:val="both"/>
              <w:rPr/>
            </w:pPr>
            <w:r>
              <w:rPr/>
              <w:t>Inc</w:t>
            </w:r>
            <w:r>
              <w:rPr>
                <w:shd w:fill="FFFFFF" w:val="clear"/>
              </w:rPr>
              <w:t>ludes gains (losses) on dispositions of assets other than in the ordinary course of business, gains (losses) on sales of certain i</w:t>
            </w:r>
            <w:r>
              <w:rPr/>
              <w:t>nvestments, unrealized mark-to-market adjustments on commodity contracts, certain foreign currency related adjustments, and certain purchase accounting and contingent consideration adjustments. </w:t>
            </w:r>
          </w:p>
        </w:tc>
      </w:tr>
      <w:tr>
        <w:trPr/>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ind w:left="0" w:right="0" w:hanging="0"/>
              <w:jc w:val="left"/>
              <w:rPr/>
            </w:pPr>
            <w:r>
              <w:rPr>
                <w:rFonts w:ascii="Times New Roman;Times;serif" w:hAnsi="Times New Roman;Times;serif"/>
                <w:sz w:val="20"/>
              </w:rPr>
              <w:t>(</w:t>
            </w:r>
            <w:r>
              <w:rPr>
                <w:rStyle w:val="Emphasis"/>
                <w:rFonts w:ascii="Times New Roman;Times;serif" w:hAnsi="Times New Roman;Times;serif"/>
                <w:sz w:val="20"/>
              </w:rPr>
              <w:t>3</w:t>
            </w:r>
            <w:r>
              <w:rPr>
                <w:rFonts w:ascii="Times New Roman;Times;serif" w:hAnsi="Times New Roman;Times;serif"/>
                <w:sz w:val="20"/>
              </w:rPr>
              <w:t>)</w:t>
            </w:r>
          </w:p>
        </w:tc>
        <w:tc>
          <w:tcPr>
            <w:tcW w:w="9971" w:type="dxa"/>
            <w:tcBorders/>
            <w:vAlign w:val="center"/>
          </w:tcPr>
          <w:p>
            <w:pPr>
              <w:pStyle w:val="TableContents"/>
              <w:bidi w:val="0"/>
              <w:spacing w:before="0" w:after="283"/>
              <w:jc w:val="both"/>
              <w:rPr/>
            </w:pPr>
            <w:r>
              <w:rPr/>
              <w:t>Represents share-based compensation expense to account for stock options, restricted stock, and other stock awards over their respective vesting periods.</w:t>
            </w:r>
          </w:p>
        </w:tc>
      </w:tr>
      <w:tr>
        <w:trPr/>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w:t>
            </w:r>
            <w:r>
              <w:rPr>
                <w:rStyle w:val="Emphasis"/>
              </w:rPr>
              <w:t>4</w:t>
            </w:r>
            <w:r>
              <w:rPr/>
              <w:t>)</w:t>
            </w:r>
          </w:p>
        </w:tc>
        <w:tc>
          <w:tcPr>
            <w:tcW w:w="9971" w:type="dxa"/>
            <w:tcBorders/>
            <w:vAlign w:val="center"/>
          </w:tcPr>
          <w:p>
            <w:pPr>
              <w:pStyle w:val="TableContents"/>
              <w:bidi w:val="0"/>
              <w:spacing w:before="0" w:after="283"/>
              <w:jc w:val="both"/>
              <w:rPr/>
            </w:pPr>
            <w:r>
              <w:rPr/>
              <w:t>Represents transaction costs incurred directly in connection with any investment, as defined in the Company's credit agreement, equity issuance or debt issuance or refinancing, together with certain fees relating to the Company's senior secured credit facilities, such as administrative agent fees and credit facility commitment fees under the Company's credit agreement.</w:t>
            </w:r>
          </w:p>
        </w:tc>
      </w:tr>
      <w:tr>
        <w:trPr/>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ind w:left="0" w:right="0" w:hanging="0"/>
              <w:jc w:val="left"/>
              <w:rPr/>
            </w:pPr>
            <w:r>
              <w:rPr>
                <w:rFonts w:ascii="Times New Roman;Times;serif" w:hAnsi="Times New Roman;Times;serif"/>
                <w:sz w:val="20"/>
              </w:rPr>
              <w:t>(</w:t>
            </w:r>
            <w:r>
              <w:rPr>
                <w:rStyle w:val="Emphasis"/>
                <w:rFonts w:ascii="Times New Roman;Times;serif" w:hAnsi="Times New Roman;Times;serif"/>
                <w:sz w:val="20"/>
              </w:rPr>
              <w:t>5</w:t>
            </w:r>
            <w:r>
              <w:rPr>
                <w:rFonts w:ascii="Times New Roman;Times;serif" w:hAnsi="Times New Roman;Times;serif"/>
                <w:sz w:val="20"/>
              </w:rPr>
              <w:t>)</w:t>
            </w:r>
          </w:p>
        </w:tc>
        <w:tc>
          <w:tcPr>
            <w:tcW w:w="9971" w:type="dxa"/>
            <w:tcBorders/>
            <w:vAlign w:val="center"/>
          </w:tcPr>
          <w:p>
            <w:pPr>
              <w:pStyle w:val="TableContents"/>
              <w:bidi w:val="0"/>
              <w:spacing w:before="0" w:after="283"/>
              <w:jc w:val="both"/>
              <w:rPr/>
            </w:pPr>
            <w:r>
              <w:rPr/>
              <w:t>Represents severance and other restructuring charges related to the consolidation of certain operating facilities and organizational functions.</w:t>
            </w:r>
          </w:p>
        </w:tc>
      </w:tr>
      <w:tr>
        <w:trPr/>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w:t>
            </w:r>
            <w:r>
              <w:rPr>
                <w:rStyle w:val="Emphasis"/>
              </w:rPr>
              <w:t>6</w:t>
            </w:r>
            <w:r>
              <w:rPr/>
              <w:t>)</w:t>
            </w:r>
          </w:p>
        </w:tc>
        <w:tc>
          <w:tcPr>
            <w:tcW w:w="9971" w:type="dxa"/>
            <w:tcBorders/>
            <w:vAlign w:val="center"/>
          </w:tcPr>
          <w:p>
            <w:pPr>
              <w:pStyle w:val="TableContents"/>
              <w:bidi w:val="0"/>
              <w:spacing w:before="0" w:after="283"/>
              <w:jc w:val="both"/>
              <w:rPr/>
            </w:pPr>
            <w:r>
              <w:rPr/>
              <w:t xml:space="preserve">Represents the following significant litigation, regulatory, and other matters that are </w:t>
            </w:r>
            <w:r>
              <w:rPr>
                <w:rStyle w:val="Emphasis"/>
              </w:rPr>
              <w:t>not</w:t>
            </w:r>
            <w:r>
              <w:rPr/>
              <w:t xml:space="preserve"> indicative of the Company's ongoing operations: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758"/>
        <w:gridCol w:w="60"/>
        <w:gridCol w:w="192"/>
        <w:gridCol w:w="838"/>
        <w:gridCol w:w="123"/>
        <w:gridCol w:w="92"/>
        <w:gridCol w:w="192"/>
        <w:gridCol w:w="746"/>
        <w:gridCol w:w="60"/>
        <w:gridCol w:w="60"/>
        <w:gridCol w:w="177"/>
        <w:gridCol w:w="775"/>
        <w:gridCol w:w="113"/>
        <w:gridCol w:w="85"/>
        <w:gridCol w:w="177"/>
        <w:gridCol w:w="690"/>
        <w:gridCol w:w="67"/>
      </w:tblGrid>
      <w:tr>
        <w:trPr/>
        <w:tc>
          <w:tcPr>
            <w:tcW w:w="57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8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17" w:type="dxa"/>
            <w:gridSpan w:val="6"/>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Six Months Ended June 30,</w:t>
            </w:r>
          </w:p>
        </w:tc>
        <w:tc>
          <w:tcPr>
            <w:tcW w:w="67" w:type="dxa"/>
            <w:tcBorders/>
            <w:vAlign w:val="center"/>
          </w:tcPr>
          <w:p>
            <w:pPr>
              <w:pStyle w:val="TableContents"/>
              <w:bidi w:val="0"/>
              <w:spacing w:before="0" w:after="283"/>
              <w:jc w:val="left"/>
              <w:rPr/>
            </w:pPr>
            <w:r>
              <w:rPr/>
              <w:t> </w:t>
            </w:r>
          </w:p>
        </w:tc>
      </w:tr>
      <w:tr>
        <w:trPr/>
        <w:tc>
          <w:tcPr>
            <w:tcW w:w="57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23"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ind w:left="0" w:right="0" w:hanging="0"/>
              <w:jc w:val="left"/>
              <w:rPr/>
            </w:pPr>
            <w:r>
              <w:rPr/>
              <w:t> </w:t>
            </w:r>
          </w:p>
        </w:tc>
        <w:tc>
          <w:tcPr>
            <w:tcW w:w="9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52"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113"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ind w:left="0" w:right="0" w:hanging="0"/>
              <w:jc w:val="left"/>
              <w:rPr/>
            </w:pPr>
            <w:r>
              <w:rPr/>
              <w:t> </w:t>
            </w:r>
          </w:p>
        </w:tc>
        <w:tc>
          <w:tcPr>
            <w:tcW w:w="867"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7" w:type="dxa"/>
            <w:tcBorders/>
            <w:vAlign w:val="center"/>
          </w:tcPr>
          <w:p>
            <w:pPr>
              <w:pStyle w:val="TableContents"/>
              <w:bidi w:val="0"/>
              <w:spacing w:before="0" w:after="283"/>
              <w:jc w:val="left"/>
              <w:rPr/>
            </w:pPr>
            <w:r>
              <w:rPr/>
              <w:t> </w:t>
            </w:r>
          </w:p>
        </w:tc>
      </w:tr>
      <w:tr>
        <w:trPr/>
        <w:tc>
          <w:tcPr>
            <w:tcW w:w="575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Legal expenses, judgements and settlements related to certain patent lawsuits</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(3,485</w:t>
            </w:r>
          </w:p>
        </w:tc>
        <w:tc>
          <w:tcPr>
            <w:tcW w:w="12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(1,038</w:t>
            </w:r>
          </w:p>
        </w:tc>
        <w:tc>
          <w:tcPr>
            <w:tcW w:w="11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3,188</w:t>
            </w:r>
          </w:p>
        </w:tc>
        <w:tc>
          <w:tcPr>
            <w:tcW w:w="67" w:type="dxa"/>
            <w:tcBorders/>
            <w:shd w:fill="CCEEFF" w:val="clear"/>
            <w:vAlign w:val="center"/>
          </w:tcPr>
          <w:p>
            <w:pPr>
              <w:pStyle w:val="TableContents"/>
              <w:bidi w:val="0"/>
              <w:spacing w:before="0" w:after="283"/>
              <w:jc w:val="left"/>
              <w:rPr/>
            </w:pPr>
            <w:r>
              <w:rPr/>
              <w:t> </w:t>
            </w:r>
          </w:p>
        </w:tc>
      </w:tr>
      <w:tr>
        <w:trPr/>
        <w:tc>
          <w:tcPr>
            <w:tcW w:w="575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expenses, judgements and settlements related to certain class action lawsuits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1,262</w:t>
            </w:r>
          </w:p>
        </w:tc>
        <w:tc>
          <w:tcPr>
            <w:tcW w:w="12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2,288</w:t>
            </w:r>
          </w:p>
        </w:tc>
        <w:tc>
          <w:tcPr>
            <w:tcW w:w="113"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3,883</w:t>
            </w:r>
          </w:p>
        </w:tc>
        <w:tc>
          <w:tcPr>
            <w:tcW w:w="67" w:type="dxa"/>
            <w:tcBorders/>
            <w:shd w:fill="FFFFFF" w:val="clear"/>
            <w:vAlign w:val="center"/>
          </w:tcPr>
          <w:p>
            <w:pPr>
              <w:pStyle w:val="TableContents"/>
              <w:bidi w:val="0"/>
              <w:spacing w:before="0" w:after="283"/>
              <w:jc w:val="left"/>
              <w:rPr/>
            </w:pPr>
            <w:r>
              <w:rPr/>
              <w:t> </w:t>
            </w:r>
          </w:p>
        </w:tc>
      </w:tr>
      <w:tr>
        <w:trPr/>
        <w:tc>
          <w:tcPr>
            <w:tcW w:w="575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expenses related to certain government inquiries and other significant matters</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8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1,272</w:t>
            </w:r>
          </w:p>
        </w:tc>
        <w:tc>
          <w:tcPr>
            <w:tcW w:w="123"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7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2,134</w:t>
            </w:r>
          </w:p>
        </w:tc>
        <w:tc>
          <w:tcPr>
            <w:tcW w:w="113"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6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1,591</w:t>
            </w:r>
          </w:p>
        </w:tc>
        <w:tc>
          <w:tcPr>
            <w:tcW w:w="67" w:type="dxa"/>
            <w:tcBorders/>
            <w:shd w:fill="CCEEFF" w:val="clear"/>
            <w:vAlign w:val="center"/>
          </w:tcPr>
          <w:p>
            <w:pPr>
              <w:pStyle w:val="TableContents"/>
              <w:bidi w:val="0"/>
              <w:spacing w:before="0" w:after="283"/>
              <w:jc w:val="left"/>
              <w:rPr/>
            </w:pPr>
            <w:r>
              <w:rPr/>
              <w:t> </w:t>
            </w:r>
          </w:p>
        </w:tc>
      </w:tr>
      <w:tr>
        <w:trPr/>
        <w:tc>
          <w:tcPr>
            <w:tcW w:w="575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Release of warranty provision recorded in 2022 to address clean energy warranty-related matters</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23"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(1,129</w:t>
            </w:r>
          </w:p>
        </w:tc>
        <w:tc>
          <w:tcPr>
            <w:tcW w:w="11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 w:type="dxa"/>
            <w:tcBorders/>
            <w:shd w:fill="FFFFFF" w:val="clear"/>
            <w:vAlign w:val="center"/>
          </w:tcPr>
          <w:p>
            <w:pPr>
              <w:pStyle w:val="TableContents"/>
              <w:bidi w:val="0"/>
              <w:spacing w:before="0" w:after="283"/>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jc w:val="left"/>
              <w:rPr/>
            </w:pPr>
            <w:r>
              <w:rPr/>
              <w:t> </w:t>
            </w:r>
          </w:p>
        </w:tc>
      </w:tr>
      <w:tr>
        <w:trPr/>
        <w:tc>
          <w:tcPr>
            <w:tcW w:w="575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provision for legal, regulatory and other matters</w:t>
            </w:r>
          </w:p>
        </w:tc>
        <w:tc>
          <w:tcPr>
            <w:tcW w:w="60" w:type="dxa"/>
            <w:tcBorders/>
            <w:shd w:fill="CCEEFF" w:val="clear"/>
            <w:vAlign w:val="center"/>
          </w:tcPr>
          <w:p>
            <w:pPr>
              <w:pStyle w:val="TableContents"/>
              <w:bidi w:val="0"/>
              <w:spacing w:before="0" w:after="283"/>
              <w:ind w:left="0" w:right="0" w:hanging="0"/>
              <w:jc w:val="left"/>
              <w:rPr/>
            </w:pPr>
            <w:r>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(951</w:t>
            </w:r>
          </w:p>
        </w:tc>
        <w:tc>
          <w:tcPr>
            <w:tcW w:w="12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 w:type="dxa"/>
            <w:tcBorders/>
            <w:shd w:fill="CCEEFF" w:val="clear"/>
            <w:vAlign w:val="center"/>
          </w:tcPr>
          <w:p>
            <w:pPr>
              <w:pStyle w:val="TableContents"/>
              <w:bidi w:val="0"/>
              <w:spacing w:before="0" w:after="283"/>
              <w:ind w:left="0" w:right="0" w:hanging="0"/>
              <w:jc w:val="left"/>
              <w:rPr/>
            </w:pPr>
            <w:r>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2,255</w:t>
            </w:r>
          </w:p>
        </w:tc>
        <w:tc>
          <w:tcPr>
            <w:tcW w:w="113"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8,662</w:t>
            </w:r>
          </w:p>
        </w:tc>
        <w:tc>
          <w:tcPr>
            <w:tcW w:w="6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3"/>
        <w:gridCol w:w="9952"/>
      </w:tblGrid>
      <w:tr>
        <w:trPr/>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w:t>
            </w:r>
            <w:r>
              <w:rPr>
                <w:rStyle w:val="Emphasis"/>
              </w:rPr>
              <w:t>7</w:t>
            </w:r>
            <w:r>
              <w:rPr/>
              <w:t>)</w:t>
            </w:r>
          </w:p>
        </w:tc>
        <w:tc>
          <w:tcPr>
            <w:tcW w:w="9952" w:type="dxa"/>
            <w:tcBorders/>
            <w:vAlign w:val="center"/>
          </w:tcPr>
          <w:p>
            <w:pPr>
              <w:pStyle w:val="TableContents"/>
              <w:bidi w:val="0"/>
              <w:spacing w:before="0" w:after="283"/>
              <w:jc w:val="both"/>
              <w:rPr/>
            </w:pPr>
            <w:r>
              <w:rPr/>
              <w:t>Represents non-cash gains (losses) primarily from changes in the fair value of the Company's investment in Wallbox warrants and equity securities.</w:t>
            </w:r>
          </w:p>
        </w:tc>
      </w:tr>
      <w:tr>
        <w:trPr/>
        <w:tc>
          <w:tcPr>
            <w:tcW w:w="60" w:type="dxa"/>
            <w:tcBorders/>
            <w:vAlign w:val="center"/>
          </w:tcPr>
          <w:p>
            <w:pPr>
              <w:pStyle w:val="TableContents"/>
              <w:bidi w:val="0"/>
              <w:spacing w:before="0" w:after="283"/>
              <w:jc w:val="both"/>
              <w:rPr/>
            </w:pPr>
            <w:r>
              <w:rPr/>
              <w:t> </w:t>
            </w:r>
          </w:p>
        </w:tc>
        <w:tc>
          <w:tcPr>
            <w:tcW w:w="193" w:type="dxa"/>
            <w:tcBorders/>
            <w:vAlign w:val="center"/>
          </w:tcPr>
          <w:p>
            <w:pPr>
              <w:pStyle w:val="TableContents"/>
              <w:bidi w:val="0"/>
              <w:spacing w:before="0" w:after="283"/>
              <w:jc w:val="both"/>
              <w:rPr/>
            </w:pPr>
            <w:r>
              <w:rPr/>
              <w:t>(</w:t>
            </w:r>
            <w:r>
              <w:rPr>
                <w:rStyle w:val="Emphasis"/>
              </w:rPr>
              <w:t>8</w:t>
            </w:r>
            <w:r>
              <w:rPr/>
              <w:t>)</w:t>
            </w:r>
          </w:p>
        </w:tc>
        <w:tc>
          <w:tcPr>
            <w:tcW w:w="9952" w:type="dxa"/>
            <w:tcBorders/>
            <w:vAlign w:val="center"/>
          </w:tcPr>
          <w:p>
            <w:pPr>
              <w:pStyle w:val="TableContents"/>
              <w:bidi w:val="0"/>
              <w:spacing w:before="0" w:after="283"/>
              <w:jc w:val="both"/>
              <w:rPr/>
            </w:pPr>
            <w:r>
              <w:rPr/>
              <w:t xml:space="preserve">The current year loss relates primarily to </w:t>
            </w:r>
            <w:r>
              <w:rPr>
                <w:rStyle w:val="Emphasis"/>
              </w:rPr>
              <w:t>four</w:t>
            </w:r>
            <w:r>
              <w:rPr/>
              <w:t xml:space="preserve"> immaterial business dispositions with </w:t>
            </w:r>
            <w:r>
              <w:rPr>
                <w:rStyle w:val="Emphasis"/>
              </w:rPr>
              <w:t>two</w:t>
            </w:r>
            <w:r>
              <w:rPr/>
              <w:t xml:space="preserve"> closing in the </w:t>
            </w:r>
            <w:r>
              <w:rPr>
                <w:rStyle w:val="Emphasis"/>
              </w:rPr>
              <w:t>first</w:t>
            </w:r>
            <w:r>
              <w:rPr/>
              <w:t xml:space="preserve"> quarter and </w:t>
            </w:r>
            <w:r>
              <w:rPr>
                <w:rStyle w:val="Emphasis"/>
              </w:rPr>
              <w:t>two</w:t>
            </w:r>
            <w:r>
              <w:rPr/>
              <w:t xml:space="preserve"> closing in the </w:t>
            </w:r>
            <w:r>
              <w:rPr>
                <w:rStyle w:val="Emphasis"/>
              </w:rPr>
              <w:t>second</w:t>
            </w:r>
            <w:r>
              <w:rPr/>
              <w:t xml:space="preserve"> quarter of </w:t>
            </w:r>
            <w:r>
              <w:rPr>
                <w:rStyle w:val="Emphasis"/>
              </w:rPr>
              <w:t>2026.</w:t>
            </w:r>
            <w:r>
              <w:rPr/>
              <w:t xml:space="preserve"> The prior year loss relates primarily to </w:t>
            </w:r>
            <w:r>
              <w:rPr>
                <w:rStyle w:val="Emphasis"/>
              </w:rPr>
              <w:t>one</w:t>
            </w:r>
            <w:r>
              <w:rPr/>
              <w:t xml:space="preserve"> immaterial business disposition that closed in the </w:t>
            </w:r>
            <w:r>
              <w:rPr>
                <w:rStyle w:val="Emphasis"/>
              </w:rPr>
              <w:t>second</w:t>
            </w:r>
            <w:r>
              <w:rPr/>
              <w:t xml:space="preserve"> quarter of </w:t>
            </w:r>
            <w:r>
              <w:rPr>
                <w:rStyle w:val="Emphasis"/>
              </w:rPr>
              <w:t>2025.</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tables summarize additional financial information by reportable segment:</w:t>
      </w:r>
    </w:p>
    <w:p>
      <w:pPr>
        <w:pStyle w:val="TextBody"/>
        <w:bidi w:val="0"/>
        <w:spacing w:before="0" w:after="0"/>
        <w:ind w:left="0" w:right="0" w:hanging="0"/>
        <w:jc w:val="left"/>
        <w:rPr/>
      </w:pPr>
      <w:r>
        <w:rPr/>
        <w:t> </w:t>
      </w:r>
    </w:p>
    <w:tbl>
      <w:tblPr>
        <w:tblW w:w="5092" w:type="dxa"/>
        <w:jc w:val="left"/>
        <w:tblInd w:w="0" w:type="dxa"/>
        <w:tblLayout w:type="fixed"/>
        <w:tblCellMar>
          <w:top w:w="0" w:type="dxa"/>
          <w:left w:w="0" w:type="dxa"/>
          <w:bottom w:w="0" w:type="dxa"/>
          <w:right w:w="0" w:type="dxa"/>
        </w:tblCellMar>
      </w:tblPr>
      <w:tblGrid>
        <w:gridCol w:w="2030"/>
        <w:gridCol w:w="60"/>
        <w:gridCol w:w="153"/>
        <w:gridCol w:w="1036"/>
        <w:gridCol w:w="72"/>
        <w:gridCol w:w="72"/>
        <w:gridCol w:w="207"/>
        <w:gridCol w:w="1402"/>
        <w:gridCol w:w="60"/>
      </w:tblGrid>
      <w:tr>
        <w:trPr/>
        <w:tc>
          <w:tcPr>
            <w:tcW w:w="20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4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Assets by Reportable Segment</w:t>
            </w:r>
          </w:p>
        </w:tc>
        <w:tc>
          <w:tcPr>
            <w:tcW w:w="60" w:type="dxa"/>
            <w:tcBorders/>
            <w:shd w:fill="FFFFFF" w:val="clear"/>
            <w:vAlign w:val="center"/>
          </w:tcPr>
          <w:p>
            <w:pPr>
              <w:pStyle w:val="TableContents"/>
              <w:bidi w:val="0"/>
              <w:spacing w:before="0" w:after="283"/>
              <w:jc w:val="left"/>
              <w:rPr/>
            </w:pPr>
            <w:r>
              <w:rPr/>
              <w:t> </w:t>
            </w:r>
          </w:p>
        </w:tc>
      </w:tr>
      <w:tr>
        <w:trPr/>
        <w:tc>
          <w:tcPr>
            <w:tcW w:w="20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60" w:type="dxa"/>
            <w:tcBorders/>
            <w:shd w:fill="FFFFFF" w:val="clear"/>
            <w:vAlign w:val="center"/>
          </w:tcPr>
          <w:p>
            <w:pPr>
              <w:pStyle w:val="TableContents"/>
              <w:bidi w:val="0"/>
              <w:spacing w:before="0" w:after="283"/>
              <w:jc w:val="left"/>
              <w:rPr/>
            </w:pPr>
            <w:r>
              <w:rPr/>
              <w:t> </w:t>
            </w:r>
          </w:p>
        </w:tc>
      </w:tr>
      <w:tr>
        <w:trPr/>
        <w:tc>
          <w:tcPr>
            <w:tcW w:w="20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2,905,028</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0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3,144,332</w:t>
            </w:r>
          </w:p>
        </w:tc>
        <w:tc>
          <w:tcPr>
            <w:tcW w:w="60" w:type="dxa"/>
            <w:tcBorders/>
            <w:shd w:fill="CCEEFF" w:val="clear"/>
            <w:vAlign w:val="center"/>
          </w:tcPr>
          <w:p>
            <w:pPr>
              <w:pStyle w:val="TableContents"/>
              <w:bidi w:val="0"/>
              <w:spacing w:before="0" w:after="283"/>
              <w:jc w:val="left"/>
              <w:rPr/>
            </w:pPr>
            <w:r>
              <w:rPr/>
              <w:t> </w:t>
            </w:r>
          </w:p>
        </w:tc>
      </w:tr>
      <w:tr>
        <w:trPr/>
        <w:tc>
          <w:tcPr>
            <w:tcW w:w="203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&amp; Industrial</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2,808,887</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40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2,367,764</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0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w:t>
            </w:r>
          </w:p>
        </w:tc>
        <w:tc>
          <w:tcPr>
            <w:tcW w:w="60" w:type="dxa"/>
            <w:tcBorders/>
            <w:shd w:fill="CCEEFF" w:val="clear"/>
            <w:vAlign w:val="center"/>
          </w:tcPr>
          <w:p>
            <w:pPr>
              <w:pStyle w:val="TableContents"/>
              <w:bidi w:val="0"/>
              <w:spacing w:before="0" w:after="0"/>
              <w:ind w:left="0" w:right="0" w:hanging="0"/>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58,236</w:t>
            </w:r>
          </w:p>
        </w:tc>
        <w:tc>
          <w:tcPr>
            <w:tcW w:w="72" w:type="dxa"/>
            <w:tcBorders/>
            <w:shd w:fill="CCEEFF" w:val="clear"/>
            <w:vAlign w:val="center"/>
          </w:tcPr>
          <w:p>
            <w:pPr>
              <w:pStyle w:val="TableContents"/>
              <w:bidi w:val="0"/>
              <w:spacing w:before="0" w:after="0"/>
              <w:ind w:left="0" w:right="0" w:hanging="0"/>
              <w:jc w:val="left"/>
              <w:rPr/>
            </w:pPr>
            <w:r>
              <w:rPr/>
              <w:t> </w:t>
            </w:r>
          </w:p>
        </w:tc>
        <w:tc>
          <w:tcPr>
            <w:tcW w:w="72" w:type="dxa"/>
            <w:tcBorders/>
            <w:shd w:fill="CCEEFF" w:val="clear"/>
            <w:vAlign w:val="center"/>
          </w:tcPr>
          <w:p>
            <w:pPr>
              <w:pStyle w:val="TableContents"/>
              <w:bidi w:val="0"/>
              <w:spacing w:before="0" w:after="0"/>
              <w:ind w:left="0" w:right="0" w:hanging="0"/>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4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61,583</w:t>
            </w:r>
          </w:p>
        </w:tc>
        <w:tc>
          <w:tcPr>
            <w:tcW w:w="60" w:type="dxa"/>
            <w:tcBorders/>
            <w:shd w:fill="CCEEFF" w:val="clear"/>
            <w:vAlign w:val="center"/>
          </w:tcPr>
          <w:p>
            <w:pPr>
              <w:pStyle w:val="TableContents"/>
              <w:bidi w:val="0"/>
              <w:spacing w:before="0" w:after="0"/>
              <w:ind w:left="180" w:right="0" w:hanging="0"/>
              <w:jc w:val="left"/>
              <w:rPr/>
            </w:pPr>
            <w:r>
              <w:rPr/>
              <w:t> </w:t>
            </w:r>
          </w:p>
        </w:tc>
      </w:tr>
      <w:tr>
        <w:trPr/>
        <w:tc>
          <w:tcPr>
            <w:tcW w:w="20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5,772,151</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0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5,573,679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7148" w:type="dxa"/>
        <w:jc w:val="left"/>
        <w:tblInd w:w="0" w:type="dxa"/>
        <w:tblLayout w:type="fixed"/>
        <w:tblCellMar>
          <w:top w:w="0" w:type="dxa"/>
          <w:left w:w="0" w:type="dxa"/>
          <w:bottom w:w="0" w:type="dxa"/>
          <w:right w:w="0" w:type="dxa"/>
        </w:tblCellMar>
      </w:tblPr>
      <w:tblGrid>
        <w:gridCol w:w="2045"/>
        <w:gridCol w:w="60"/>
        <w:gridCol w:w="201"/>
        <w:gridCol w:w="956"/>
        <w:gridCol w:w="96"/>
        <w:gridCol w:w="96"/>
        <w:gridCol w:w="201"/>
        <w:gridCol w:w="956"/>
        <w:gridCol w:w="82"/>
        <w:gridCol w:w="82"/>
        <w:gridCol w:w="173"/>
        <w:gridCol w:w="966"/>
        <w:gridCol w:w="83"/>
        <w:gridCol w:w="83"/>
        <w:gridCol w:w="173"/>
        <w:gridCol w:w="820"/>
        <w:gridCol w:w="75"/>
      </w:tblGrid>
      <w:tr>
        <w:trPr/>
        <w:tc>
          <w:tcPr>
            <w:tcW w:w="20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968"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Depreciation and Amortization by Reportable Segment</w:t>
            </w:r>
          </w:p>
        </w:tc>
        <w:tc>
          <w:tcPr>
            <w:tcW w:w="75" w:type="dxa"/>
            <w:tcBorders/>
            <w:shd w:fill="FFFF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75" w:type="dxa"/>
            <w:tcBorders/>
            <w:shd w:fill="FFFF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11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1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99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75" w:type="dxa"/>
            <w:tcBorders/>
            <w:shd w:fill="FFFFFF" w:val="cle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Residential</w:t>
            </w:r>
          </w:p>
        </w:tc>
        <w:tc>
          <w:tcPr>
            <w:tcW w:w="60" w:type="dxa"/>
            <w:tcBorders/>
            <w:shd w:fill="CCEEFF" w:val="clear"/>
            <w:vAlign w:val="center"/>
          </w:tcPr>
          <w:p>
            <w:pPr>
              <w:pStyle w:val="TableContents"/>
              <w:bidi w:val="0"/>
              <w:spacing w:before="0" w:after="283"/>
              <w:ind w:left="0" w:right="0" w:hanging="0"/>
              <w:jc w:val="left"/>
              <w:rPr/>
            </w:pPr>
            <w:r>
              <w:rPr/>
              <w:t> </w:t>
            </w:r>
          </w:p>
        </w:tc>
        <w:tc>
          <w:tcPr>
            <w:tcW w:w="20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31,131</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20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29,264</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63,347</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1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58,149</w:t>
            </w:r>
          </w:p>
        </w:tc>
        <w:tc>
          <w:tcPr>
            <w:tcW w:w="75"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&amp; Industrial</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26,891</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18,616</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50,378</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8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35,609</w:t>
            </w:r>
          </w:p>
        </w:tc>
        <w:tc>
          <w:tcPr>
            <w:tcW w:w="75" w:type="dxa"/>
            <w:tcBorders/>
            <w:shd w:fill="FFFFFF" w:val="cle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659</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704</w:t>
            </w:r>
          </w:p>
        </w:tc>
        <w:tc>
          <w:tcPr>
            <w:tcW w:w="75"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58,410</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48,321</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114,384</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94,462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60" w:right="0" w:hanging="0"/>
        <w:jc w:val="left"/>
        <w:rPr>
          <w:caps w:val="false"/>
          <w:smallCaps w:val="false"/>
        </w:rPr>
      </w:pPr>
      <w:r>
        <w:rPr>
          <w:caps w:val="false"/>
          <w:smallCaps w:val="false"/>
        </w:rPr>
        <w:t> </w:t>
      </w:r>
    </w:p>
    <w:tbl>
      <w:tblPr>
        <w:tblW w:w="7122" w:type="dxa"/>
        <w:jc w:val="left"/>
        <w:tblInd w:w="0" w:type="dxa"/>
        <w:tblLayout w:type="fixed"/>
        <w:tblCellMar>
          <w:top w:w="0" w:type="dxa"/>
          <w:left w:w="0" w:type="dxa"/>
          <w:bottom w:w="0" w:type="dxa"/>
          <w:right w:w="0" w:type="dxa"/>
        </w:tblCellMar>
      </w:tblPr>
      <w:tblGrid>
        <w:gridCol w:w="2045"/>
        <w:gridCol w:w="60"/>
        <w:gridCol w:w="202"/>
        <w:gridCol w:w="955"/>
        <w:gridCol w:w="96"/>
        <w:gridCol w:w="96"/>
        <w:gridCol w:w="202"/>
        <w:gridCol w:w="955"/>
        <w:gridCol w:w="70"/>
        <w:gridCol w:w="70"/>
        <w:gridCol w:w="185"/>
        <w:gridCol w:w="875"/>
        <w:gridCol w:w="88"/>
        <w:gridCol w:w="88"/>
        <w:gridCol w:w="185"/>
        <w:gridCol w:w="875"/>
        <w:gridCol w:w="75"/>
      </w:tblGrid>
      <w:tr>
        <w:trPr/>
        <w:tc>
          <w:tcPr>
            <w:tcW w:w="20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942"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Capital Expenditures by Reportable Segment</w:t>
            </w:r>
          </w:p>
        </w:tc>
        <w:tc>
          <w:tcPr>
            <w:tcW w:w="75" w:type="dxa"/>
            <w:tcBorders/>
            <w:shd w:fill="FFFF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229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75" w:type="dxa"/>
            <w:tcBorders/>
            <w:shd w:fill="FFFF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11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75" w:type="dxa"/>
            <w:tcBorders/>
            <w:shd w:fill="FFFFFF" w:val="cle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Residential</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10,438</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27,404</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23,249</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43,531</w:t>
            </w:r>
          </w:p>
        </w:tc>
        <w:tc>
          <w:tcPr>
            <w:tcW w:w="75"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&amp; Industrial</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46,412</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28,992</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61,870</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42,080</w:t>
            </w:r>
          </w:p>
        </w:tc>
        <w:tc>
          <w:tcPr>
            <w:tcW w:w="75" w:type="dxa"/>
            <w:tcBorders/>
            <w:shd w:fill="FFFFFF" w:val="cle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1,440</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2,568</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3,042</w:t>
            </w:r>
          </w:p>
        </w:tc>
        <w:tc>
          <w:tcPr>
            <w:tcW w:w="75"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58,290</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57,716</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87,687</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88,653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The Company’s sales in the U.S. represented approximately</w:t>
      </w:r>
      <w:r>
        <w:rPr>
          <w:rFonts w:ascii="Times New Roman;Times;serif" w:hAnsi="Times New Roman;Times;serif"/>
          <w:sz w:val="20"/>
          <w:shd w:fill="FFFFFF" w:val="clear"/>
        </w:rPr>
        <w:t> 76% and 80% of total sales </w:t>
      </w:r>
      <w:r>
        <w:rPr>
          <w:rFonts w:ascii="Times New Roman;Times;serif" w:hAnsi="Times New Roman;Times;serif"/>
          <w:sz w:val="20"/>
        </w:rPr>
        <w:t xml:space="preserve">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w:t>
      </w:r>
      <w:r>
        <w:rPr>
          <w:rFonts w:ascii="Times New Roman;Times;serif" w:hAnsi="Times New Roman;Times;serif"/>
          <w:sz w:val="20"/>
        </w:rPr>
        <w:t xml:space="preserve"> </w:t>
      </w:r>
      <w:r>
        <w:rPr>
          <w:rStyle w:val="Emphasis"/>
          <w:rFonts w:ascii="Times New Roman;Times;serif" w:hAnsi="Times New Roman;Times;serif"/>
          <w:sz w:val="20"/>
        </w:rPr>
        <w:t>2026</w:t>
      </w:r>
      <w:r>
        <w:rPr>
          <w:rFonts w:ascii="Times New Roman;Times;serif" w:hAnsi="Times New Roman;Times;serif"/>
          <w:sz w:val="20"/>
        </w:rPr>
        <w:t xml:space="preserve"> and </w:t>
      </w:r>
      <w:r>
        <w:rPr>
          <w:rStyle w:val="Emphasis"/>
          <w:rFonts w:ascii="Times New Roman;Times;serif" w:hAnsi="Times New Roman;Times;serif"/>
          <w:sz w:val="20"/>
        </w:rPr>
        <w:t>2</w:t>
      </w:r>
      <w:r>
        <w:rPr>
          <w:rStyle w:val="Emphasis"/>
          <w:rFonts w:ascii="Times New Roman;Times;serif" w:hAnsi="Times New Roman;Times;serif"/>
          <w:color w:val="000000"/>
          <w:sz w:val="20"/>
          <w:shd w:fill="FFFFFF" w:val="clear"/>
        </w:rPr>
        <w:t>025,</w:t>
      </w:r>
      <w:r>
        <w:rPr>
          <w:rFonts w:ascii="Times New Roman;Times;serif" w:hAnsi="Times New Roman;Times;serif"/>
          <w:color w:val="000000"/>
          <w:sz w:val="20"/>
          <w:shd w:fill="FFFFFF" w:val="clear"/>
        </w:rPr>
        <w:t xml:space="preserve"> respectively, and </w:t>
      </w:r>
      <w:r>
        <w:rPr>
          <w:rFonts w:ascii="Times New Roman;Times;serif" w:hAnsi="Times New Roman;Times;serif"/>
          <w:sz w:val="20"/>
        </w:rPr>
        <w:t>approximately</w:t>
      </w:r>
      <w:r>
        <w:rPr>
          <w:rFonts w:ascii="Times New Roman;Times;serif" w:hAnsi="Times New Roman;Times;serif"/>
          <w:color w:val="000000"/>
          <w:sz w:val="20"/>
          <w:shd w:fill="FFFFFF" w:val="clear"/>
        </w:rPr>
        <w:t xml:space="preserve"> 77% and 79% for the </w:t>
      </w:r>
      <w:r>
        <w:rPr>
          <w:rStyle w:val="Emphasis"/>
          <w:rFonts w:ascii="Times New Roman;Times;serif" w:hAnsi="Times New Roman;Times;serif"/>
          <w:color w:val="000000"/>
          <w:sz w:val="20"/>
          <w:shd w:fill="FFFFFF" w:val="clear"/>
        </w:rPr>
        <w:t>six</w:t>
      </w:r>
      <w:r>
        <w:rPr>
          <w:rFonts w:ascii="Times New Roman;Times;serif" w:hAnsi="Times New Roman;Times;serif"/>
          <w:color w:val="000000"/>
          <w:sz w:val="20"/>
          <w:shd w:fill="FFFFFF" w:val="clear"/>
        </w:rPr>
        <w:t xml:space="preserve"> months ended </w:t>
      </w:r>
      <w:r>
        <w:rPr>
          <w:rStyle w:val="Emphasis"/>
          <w:rFonts w:ascii="Times New Roman;Times;serif" w:hAnsi="Times New Roman;Times;serif"/>
          <w:color w:val="000000"/>
          <w:sz w:val="20"/>
          <w:shd w:fill="FFFFFF" w:val="clear"/>
        </w:rPr>
        <w:t xml:space="preserve">June 30, 2026 </w:t>
      </w:r>
      <w:r>
        <w:rPr>
          <w:rFonts w:ascii="Times New Roman;Times;serif" w:hAnsi="Times New Roman;Times;serif"/>
          <w:color w:val="000000"/>
          <w:sz w:val="20"/>
          <w:shd w:fill="FFFFFF" w:val="clear"/>
        </w:rPr>
        <w:t xml:space="preserve">and </w:t>
      </w:r>
      <w:r>
        <w:rPr>
          <w:rStyle w:val="Emphasis"/>
          <w:rFonts w:ascii="Times New Roman;Times;serif" w:hAnsi="Times New Roman;Times;serif"/>
          <w:color w:val="000000"/>
          <w:sz w:val="20"/>
          <w:shd w:fill="FFFFFF" w:val="clear"/>
        </w:rPr>
        <w:t>2025,</w:t>
      </w:r>
      <w:r>
        <w:rPr>
          <w:rFonts w:ascii="Times New Roman;Times;serif" w:hAnsi="Times New Roman;Times;serif"/>
          <w:color w:val="000000"/>
          <w:sz w:val="20"/>
          <w:shd w:fill="FFFFFF" w:val="clear"/>
        </w:rPr>
        <w:t xml:space="preserve"> respectively. </w:t>
      </w:r>
      <w:r>
        <w:rPr>
          <w:rFonts w:ascii="Times New Roman;Times;serif" w:hAnsi="Times New Roman;Times;serif"/>
          <w:sz w:val="20"/>
        </w:rPr>
        <w:t>Approximat</w:t>
      </w:r>
      <w:r>
        <w:rPr>
          <w:rFonts w:ascii="Times New Roman;Times;serif" w:hAnsi="Times New Roman;Times;serif"/>
          <w:sz w:val="20"/>
          <w:shd w:fill="FFFFFF" w:val="clear"/>
        </w:rPr>
        <w:t>ely</w:t>
      </w:r>
      <w:r>
        <w:rPr>
          <w:rFonts w:ascii="Times New Roman;Times;serif" w:hAnsi="Times New Roman;Times;serif"/>
          <w:sz w:val="20"/>
        </w:rPr>
        <w:t xml:space="preserve"> 78% and 74% of the Company's identifiable long-lived assets were located in the U.S. as of </w:t>
      </w:r>
      <w:r>
        <w:rPr>
          <w:rStyle w:val="Emphasis"/>
          <w:rFonts w:ascii="Times New Roman;Times;serif" w:hAnsi="Times New Roman;Times;serif"/>
          <w:sz w:val="20"/>
        </w:rPr>
        <w:t>June 30,</w:t>
      </w:r>
      <w:r>
        <w:rPr>
          <w:rFonts w:ascii="Times New Roman;Times;serif" w:hAnsi="Times New Roman;Times;serif"/>
          <w:sz w:val="20"/>
        </w:rPr>
        <w:t xml:space="preserve"> </w:t>
      </w:r>
      <w:r>
        <w:rPr>
          <w:rStyle w:val="Emphasis"/>
          <w:rFonts w:ascii="Times New Roman;Times;serif" w:hAnsi="Times New Roman;Times;serif"/>
          <w:sz w:val="20"/>
        </w:rPr>
        <w:t>2026</w:t>
      </w:r>
      <w:r>
        <w:rPr>
          <w:rFonts w:ascii="Times New Roman;Times;serif" w:hAnsi="Times New Roman;Times;serif"/>
          <w:sz w:val="20"/>
        </w:rPr>
        <w:t xml:space="preserve"> and </w:t>
      </w:r>
      <w:r>
        <w:rPr>
          <w:rStyle w:val="Emphasis"/>
          <w:rFonts w:ascii="Times New Roman;Times;serif" w:hAnsi="Times New Roman;Times;serif"/>
          <w:sz w:val="20"/>
        </w:rPr>
        <w:t xml:space="preserve">December 31, 2025, </w:t>
      </w:r>
      <w:r>
        <w:rPr>
          <w:rFonts w:ascii="Times New Roman;Times;serif" w:hAnsi="Times New Roman;Times;serif"/>
          <w:sz w:val="20"/>
        </w:rPr>
        <w:t>respectively. </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8.</w:t>
      </w:r>
      <w:r>
        <w:rPr>
          <w:rFonts w:ascii="Times New Roman;Times;serif" w:hAnsi="Times New Roman;Times;serif"/>
          <w:b/>
          <w:sz w:val="20"/>
        </w:rPr>
        <w:t>   Balance Sheet Details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Inventories consist of the following:</w:t>
      </w:r>
    </w:p>
    <w:p>
      <w:pPr>
        <w:pStyle w:val="TextBody"/>
        <w:bidi w:val="0"/>
        <w:spacing w:before="0" w:after="0"/>
        <w:ind w:left="0" w:right="0" w:hanging="0"/>
        <w:jc w:val="left"/>
        <w:rPr/>
      </w:pPr>
      <w:r>
        <w:rPr/>
        <w:t> </w:t>
      </w:r>
    </w:p>
    <w:tbl>
      <w:tblPr>
        <w:tblW w:w="3709" w:type="dxa"/>
        <w:jc w:val="left"/>
        <w:tblInd w:w="0" w:type="dxa"/>
        <w:tblLayout w:type="fixed"/>
        <w:tblCellMar>
          <w:top w:w="0" w:type="dxa"/>
          <w:left w:w="0" w:type="dxa"/>
          <w:bottom w:w="0" w:type="dxa"/>
          <w:right w:w="0" w:type="dxa"/>
        </w:tblCellMar>
      </w:tblPr>
      <w:tblGrid>
        <w:gridCol w:w="1355"/>
        <w:gridCol w:w="60"/>
        <w:gridCol w:w="125"/>
        <w:gridCol w:w="845"/>
        <w:gridCol w:w="60"/>
        <w:gridCol w:w="60"/>
        <w:gridCol w:w="147"/>
        <w:gridCol w:w="997"/>
        <w:gridCol w:w="60"/>
      </w:tblGrid>
      <w:tr>
        <w:trPr/>
        <w:tc>
          <w:tcPr>
            <w:tcW w:w="13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13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663,614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705,610</w:t>
            </w:r>
          </w:p>
        </w:tc>
        <w:tc>
          <w:tcPr>
            <w:tcW w:w="60" w:type="dxa"/>
            <w:tcBorders/>
            <w:shd w:fill="CCEEFF" w:val="clear"/>
            <w:vAlign w:val="center"/>
          </w:tcPr>
          <w:p>
            <w:pPr>
              <w:pStyle w:val="TableContents"/>
              <w:bidi w:val="0"/>
              <w:spacing w:before="0" w:after="283"/>
              <w:jc w:val="left"/>
              <w:rPr/>
            </w:pPr>
            <w:r>
              <w:rPr/>
              <w:t> </w:t>
            </w:r>
          </w:p>
        </w:tc>
      </w:tr>
      <w:tr>
        <w:trPr/>
        <w:tc>
          <w:tcPr>
            <w:tcW w:w="135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Work-in-process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12,592</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13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562,786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530,665</w:t>
            </w:r>
          </w:p>
        </w:tc>
        <w:tc>
          <w:tcPr>
            <w:tcW w:w="60" w:type="dxa"/>
            <w:tcBorders/>
            <w:shd w:fill="CCEEFF" w:val="clear"/>
            <w:vAlign w:val="center"/>
          </w:tcPr>
          <w:p>
            <w:pPr>
              <w:pStyle w:val="TableContents"/>
              <w:bidi w:val="0"/>
              <w:spacing w:before="0" w:after="0"/>
              <w:jc w:val="left"/>
              <w:rPr/>
            </w:pPr>
            <w:r>
              <w:rPr/>
              <w:t> </w:t>
            </w:r>
          </w:p>
        </w:tc>
      </w:tr>
      <w:tr>
        <w:trPr/>
        <w:tc>
          <w:tcPr>
            <w:tcW w:w="135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1,238,871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1,248,867</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Property and equipment consists of the following:</w:t>
      </w:r>
    </w:p>
    <w:p>
      <w:pPr>
        <w:pStyle w:val="TextBody"/>
        <w:bidi w:val="0"/>
        <w:spacing w:before="0" w:after="0"/>
        <w:ind w:left="0" w:right="0" w:hanging="0"/>
        <w:jc w:val="left"/>
        <w:rPr/>
      </w:pPr>
      <w:r>
        <w:rPr/>
        <w:t> </w:t>
      </w:r>
    </w:p>
    <w:tbl>
      <w:tblPr>
        <w:tblW w:w="8054" w:type="dxa"/>
        <w:jc w:val="left"/>
        <w:tblInd w:w="0" w:type="dxa"/>
        <w:tblLayout w:type="fixed"/>
        <w:tblCellMar>
          <w:top w:w="0" w:type="dxa"/>
          <w:left w:w="0" w:type="dxa"/>
          <w:bottom w:w="0" w:type="dxa"/>
          <w:right w:w="0" w:type="dxa"/>
        </w:tblCellMar>
      </w:tblPr>
      <w:tblGrid>
        <w:gridCol w:w="5660"/>
        <w:gridCol w:w="60"/>
        <w:gridCol w:w="125"/>
        <w:gridCol w:w="845"/>
        <w:gridCol w:w="80"/>
        <w:gridCol w:w="60"/>
        <w:gridCol w:w="147"/>
        <w:gridCol w:w="997"/>
        <w:gridCol w:w="80"/>
      </w:tblGrid>
      <w:tr>
        <w:trPr/>
        <w:tc>
          <w:tcPr>
            <w:tcW w:w="56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 and improvements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38,149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31,937</w:t>
            </w:r>
          </w:p>
        </w:tc>
        <w:tc>
          <w:tcPr>
            <w:tcW w:w="80"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 and improvements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485,033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444,171</w:t>
            </w:r>
          </w:p>
        </w:tc>
        <w:tc>
          <w:tcPr>
            <w:tcW w:w="80"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Machinery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402,737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374,791</w:t>
            </w:r>
          </w:p>
        </w:tc>
        <w:tc>
          <w:tcPr>
            <w:tcW w:w="80"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Dies and tools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67,248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63,666</w:t>
            </w:r>
          </w:p>
        </w:tc>
        <w:tc>
          <w:tcPr>
            <w:tcW w:w="80"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Vehicles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19,743</w:t>
            </w:r>
          </w:p>
        </w:tc>
        <w:tc>
          <w:tcPr>
            <w:tcW w:w="80"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 &amp; information technology equipment and internal use software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279,936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252,425</w:t>
            </w:r>
          </w:p>
        </w:tc>
        <w:tc>
          <w:tcPr>
            <w:tcW w:w="80"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10,670</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6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75,425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9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86,116</w:t>
            </w:r>
          </w:p>
        </w:tc>
        <w:tc>
          <w:tcPr>
            <w:tcW w:w="80" w:type="dxa"/>
            <w:tcBorders/>
            <w:shd w:fill="FFFFFF" w:val="clear"/>
            <w:vAlign w:val="center"/>
          </w:tcPr>
          <w:p>
            <w:pPr>
              <w:pStyle w:val="TableContents"/>
              <w:bidi w:val="0"/>
              <w:spacing w:before="0" w:after="0"/>
              <w:jc w:val="left"/>
              <w:rPr/>
            </w:pPr>
            <w:r>
              <w:rPr/>
              <w:t> </w:t>
            </w:r>
          </w:p>
        </w:tc>
      </w:tr>
      <w:tr>
        <w:trPr/>
        <w:tc>
          <w:tcPr>
            <w:tcW w:w="56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property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1,379,296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9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1,283,519</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6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depreciation</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(516,718</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9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(469,914</w:t>
            </w:r>
          </w:p>
        </w:tc>
        <w:tc>
          <w:tcPr>
            <w:tcW w:w="8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566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862,578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813,605</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Total property and equipment includes finance leas</w:t>
      </w:r>
      <w:r>
        <w:rPr>
          <w:rFonts w:ascii="Times New Roman;Times;serif" w:hAnsi="Times New Roman;Times;serif"/>
          <w:sz w:val="20"/>
          <w:shd w:fill="FFFFFF" w:val="clear"/>
        </w:rPr>
        <w:t>es of</w:t>
      </w:r>
      <w:r>
        <w:rPr>
          <w:rFonts w:ascii="Times New Roman;Times;serif" w:hAnsi="Times New Roman;Times;serif"/>
          <w:sz w:val="20"/>
        </w:rPr>
        <w:t xml:space="preserve"> $81,961</w:t>
      </w:r>
      <w:r>
        <w:rPr>
          <w:rFonts w:ascii="Times New Roman;Times;serif" w:hAnsi="Times New Roman;Times;serif"/>
          <w:sz w:val="20"/>
          <w:shd w:fill="FFFFFF" w:val="clear"/>
        </w:rPr>
        <w:t> a</w:t>
      </w:r>
      <w:r>
        <w:rPr>
          <w:rFonts w:ascii="Times New Roman;Times;serif" w:hAnsi="Times New Roman;Times;serif"/>
          <w:sz w:val="20"/>
        </w:rPr>
        <w:t xml:space="preserve">nd $83,963 as of </w:t>
      </w:r>
      <w:r>
        <w:rPr>
          <w:rStyle w:val="Emphasis"/>
          <w:rFonts w:ascii="Times New Roman;Times;serif" w:hAnsi="Times New Roman;Times;serif"/>
          <w:sz w:val="20"/>
        </w:rPr>
        <w:t xml:space="preserve">June 30, 2026, </w:t>
      </w:r>
      <w:r>
        <w:rPr>
          <w:rFonts w:ascii="Times New Roman;Times;serif" w:hAnsi="Times New Roman;Times;serif"/>
          <w:sz w:val="20"/>
        </w:rPr>
        <w:t xml:space="preserve">and </w:t>
      </w:r>
      <w:r>
        <w:rPr>
          <w:rStyle w:val="Emphasis"/>
          <w:rFonts w:ascii="Times New Roman;Times;serif" w:hAnsi="Times New Roman;Times;serif"/>
          <w:sz w:val="20"/>
        </w:rPr>
        <w:t xml:space="preserve">December 31, 2025, </w:t>
      </w:r>
      <w:r>
        <w:rPr>
          <w:rFonts w:ascii="Times New Roman;Times;serif" w:hAnsi="Times New Roman;Times;serif"/>
          <w:sz w:val="20"/>
        </w:rPr>
        <w:t>respectively, primarily consisting of buildings and improvements. Amortization of finance lease right of use assets is recorded within depreciation expense in the condensed consolidated statements of comprehensive income. The initial measurement of new finance lease right of use assets is accounted for as a non-cash item in the condensed consolidated statements of cash flows.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accrued liabilities consist of the following:</w:t>
      </w:r>
    </w:p>
    <w:p>
      <w:pPr>
        <w:pStyle w:val="TextBody"/>
        <w:bidi w:val="0"/>
        <w:spacing w:before="0" w:after="0"/>
        <w:ind w:left="0" w:right="0" w:hanging="0"/>
        <w:jc w:val="both"/>
        <w:rPr/>
      </w:pPr>
      <w:r>
        <w:rPr/>
        <w:t> </w:t>
      </w:r>
    </w:p>
    <w:tbl>
      <w:tblPr>
        <w:tblW w:w="5239" w:type="dxa"/>
        <w:jc w:val="left"/>
        <w:tblInd w:w="0" w:type="dxa"/>
        <w:tblLayout w:type="fixed"/>
        <w:tblCellMar>
          <w:top w:w="0" w:type="dxa"/>
          <w:left w:w="0" w:type="dxa"/>
          <w:bottom w:w="0" w:type="dxa"/>
          <w:right w:w="0" w:type="dxa"/>
        </w:tblCellMar>
      </w:tblPr>
      <w:tblGrid>
        <w:gridCol w:w="3020"/>
        <w:gridCol w:w="60"/>
        <w:gridCol w:w="125"/>
        <w:gridCol w:w="695"/>
        <w:gridCol w:w="60"/>
        <w:gridCol w:w="60"/>
        <w:gridCol w:w="173"/>
        <w:gridCol w:w="971"/>
        <w:gridCol w:w="75"/>
      </w:tblGrid>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75" w:type="dxa"/>
            <w:tcBorders/>
            <w:shd w:fill="FFFF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selling expenses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93,593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118,962</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contract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181,721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3" w:type="dxa"/>
            <w:tcBorders/>
            <w:shd w:fill="FFFFFF" w:val="clear"/>
            <w:vAlign w:val="center"/>
          </w:tcPr>
          <w:p>
            <w:pPr>
              <w:pStyle w:val="TableContents"/>
              <w:bidi w:val="0"/>
              <w:spacing w:before="0" w:after="0"/>
              <w:ind w:left="0" w:right="0" w:hanging="0"/>
              <w:jc w:val="left"/>
              <w:rPr/>
            </w:pPr>
            <w:r>
              <w:rPr/>
              <w:t> </w:t>
            </w:r>
          </w:p>
        </w:tc>
        <w:tc>
          <w:tcPr>
            <w:tcW w:w="971"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153,745</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legal &amp; professional fees (1)</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38,210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3" w:type="dxa"/>
            <w:tcBorders/>
            <w:shd w:fill="CCEEFF" w:val="clear"/>
            <w:vAlign w:val="center"/>
          </w:tcPr>
          <w:p>
            <w:pPr>
              <w:pStyle w:val="TableContents"/>
              <w:bidi w:val="0"/>
              <w:spacing w:before="0" w:after="0"/>
              <w:ind w:left="0" w:right="0" w:hanging="0"/>
              <w:jc w:val="left"/>
              <w:rPr/>
            </w:pPr>
            <w:r>
              <w:rPr/>
              <w:t> </w:t>
            </w:r>
          </w:p>
        </w:tc>
        <w:tc>
          <w:tcPr>
            <w:tcW w:w="971"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248,445</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operating lease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11,328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3" w:type="dxa"/>
            <w:tcBorders/>
            <w:shd w:fill="FFFFFF" w:val="clear"/>
            <w:vAlign w:val="center"/>
          </w:tcPr>
          <w:p>
            <w:pPr>
              <w:pStyle w:val="TableContents"/>
              <w:bidi w:val="0"/>
              <w:spacing w:before="0" w:after="0"/>
              <w:ind w:left="0" w:right="0" w:hanging="0"/>
              <w:jc w:val="left"/>
              <w:rPr/>
            </w:pPr>
            <w:r>
              <w:rPr/>
              <w:t> </w:t>
            </w:r>
          </w:p>
        </w:tc>
        <w:tc>
          <w:tcPr>
            <w:tcW w:w="971"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15,731</w:t>
            </w:r>
          </w:p>
        </w:tc>
        <w:tc>
          <w:tcPr>
            <w:tcW w:w="75"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contingent consideration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105,858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11,175</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other</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17,060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7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43,329</w:t>
            </w:r>
          </w:p>
        </w:tc>
        <w:tc>
          <w:tcPr>
            <w:tcW w:w="75" w:type="dxa"/>
            <w:tcBorders/>
            <w:shd w:fill="FFFFFF" w:val="clear"/>
            <w:vAlign w:val="center"/>
          </w:tcPr>
          <w:p>
            <w:pPr>
              <w:pStyle w:val="TableContents"/>
              <w:bidi w:val="0"/>
              <w:spacing w:before="0" w:after="0"/>
              <w:jc w:val="left"/>
              <w:rPr/>
            </w:pPr>
            <w:r>
              <w:rPr/>
              <w:t> </w:t>
            </w:r>
          </w:p>
        </w:tc>
      </w:tr>
      <w:tr>
        <w:trPr/>
        <w:tc>
          <w:tcPr>
            <w:tcW w:w="30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447,770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591,387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color w:val="000000"/>
          <w:sz w:val="20"/>
        </w:rPr>
        <w:t>(</w:t>
      </w:r>
      <w:r>
        <w:rPr>
          <w:rStyle w:val="Emphasis"/>
          <w:rFonts w:ascii="Times New Roman;Times;serif" w:hAnsi="Times New Roman;Times;serif"/>
          <w:color w:val="000000"/>
          <w:sz w:val="20"/>
        </w:rPr>
        <w:t>1</w:t>
      </w:r>
      <w:r>
        <w:rPr>
          <w:rFonts w:ascii="Times New Roman;Times;serif" w:hAnsi="Times New Roman;Times;serif"/>
          <w:color w:val="000000"/>
          <w:sz w:val="20"/>
        </w:rPr>
        <w:t xml:space="preserve">) The decrease primarily relates to a $206,500 payment made by the Company and its insurance carriers to satisfy a legal obligation. Refer to Zawaski, et. al. v. Generac Power Systems, Inc., et. al. in Note </w:t>
      </w:r>
      <w:r>
        <w:rPr>
          <w:rStyle w:val="Emphasis"/>
          <w:rFonts w:ascii="Times New Roman;Times;serif" w:hAnsi="Times New Roman;Times;serif"/>
          <w:color w:val="000000"/>
          <w:sz w:val="20"/>
        </w:rPr>
        <w:t>16</w:t>
      </w:r>
      <w:r>
        <w:rPr>
          <w:rFonts w:ascii="Times New Roman;Times;serif" w:hAnsi="Times New Roman;Times;serif"/>
          <w:color w:val="000000"/>
          <w:sz w:val="20"/>
        </w:rPr>
        <w:t xml:space="preserve"> “Commitments and Contingencies,” for more information.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9.</w:t>
      </w:r>
      <w:r>
        <w:rPr>
          <w:rFonts w:ascii="Times New Roman;Times;serif" w:hAnsi="Times New Roman;Times;serif"/>
          <w:b/>
          <w:sz w:val="20"/>
        </w:rPr>
        <w:t>   Goodwill</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As described in Note </w:t>
      </w:r>
      <w:r>
        <w:rPr>
          <w:rStyle w:val="Emphasis"/>
          <w:rFonts w:ascii="Times New Roman" w:hAnsi="Times New Roman"/>
          <w:caps w:val="false"/>
          <w:smallCaps w:val="false"/>
          <w:sz w:val="20"/>
        </w:rPr>
        <w:t>7,</w:t>
      </w:r>
      <w:r>
        <w:rPr>
          <w:rFonts w:ascii="Times New Roman" w:hAnsi="Times New Roman"/>
          <w:caps w:val="false"/>
          <w:smallCaps w:val="false"/>
          <w:sz w:val="20"/>
        </w:rPr>
        <w:t xml:space="preserve"> "Segment Reporting," effective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the Company reorganized its reportable segments into Residential and C&amp;I.  As a result, the composition of the Company's reporting units changed. The Company reassigned goodwill to the affected reporting units using a relative fair value allocation approach.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concluded that the change in reporting unit composition represented a triggering event and performed an interim quantitative goodwill impairment test for the reporting units affected by the reorganization. The impairment test compared the carrying value of each affected reporting unit, including goodwill, with its estimated fair value. As a result of this test, the Company recorded $1,523 of goodwill impairment for one reporting unit within the Residential segment 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For the remaining affected reporting units, the Company concluded that estimated fair value exceeded carrying value and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additional impairment was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carrying value of goodwill by reportable segment is summarized below:</w:t>
      </w:r>
    </w:p>
    <w:p>
      <w:pPr>
        <w:pStyle w:val="TextBody"/>
        <w:bidi w:val="0"/>
        <w:spacing w:before="0" w:after="0"/>
        <w:ind w:left="0" w:right="0" w:hanging="0"/>
        <w:jc w:val="both"/>
        <w:rPr/>
      </w:pPr>
      <w:r>
        <w:rPr/>
        <w:t> </w:t>
      </w:r>
    </w:p>
    <w:tbl>
      <w:tblPr>
        <w:tblW w:w="7824" w:type="dxa"/>
        <w:jc w:val="left"/>
        <w:tblInd w:w="0" w:type="dxa"/>
        <w:tblLayout w:type="fixed"/>
        <w:tblCellMar>
          <w:top w:w="0" w:type="dxa"/>
          <w:left w:w="0" w:type="dxa"/>
          <w:bottom w:w="0" w:type="dxa"/>
          <w:right w:w="0" w:type="dxa"/>
        </w:tblCellMar>
      </w:tblPr>
      <w:tblGrid>
        <w:gridCol w:w="3365"/>
        <w:gridCol w:w="60"/>
        <w:gridCol w:w="147"/>
        <w:gridCol w:w="818"/>
        <w:gridCol w:w="80"/>
        <w:gridCol w:w="60"/>
        <w:gridCol w:w="319"/>
        <w:gridCol w:w="1785"/>
        <w:gridCol w:w="80"/>
        <w:gridCol w:w="60"/>
        <w:gridCol w:w="125"/>
        <w:gridCol w:w="845"/>
        <w:gridCol w:w="80"/>
      </w:tblGrid>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Residential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Commercial &amp; Industrial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December 31, 2025</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855,118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611,976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1,467,094</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Acquisitions of businesses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ind w:left="0" w:right="0" w:hanging="0"/>
              <w:jc w:val="left"/>
              <w:rPr/>
            </w:pPr>
            <w:r>
              <w:rPr/>
              <w:t> </w:t>
            </w:r>
          </w:p>
        </w:tc>
        <w:tc>
          <w:tcPr>
            <w:tcW w:w="17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208,598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208,598</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Disposition of businesses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17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(15,943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(15,943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65"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Impairment charge</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(1,523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7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(1,523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rate changes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7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(6,446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June 30, 2026</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853,566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798,185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1,651,751</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10.</w:t>
      </w:r>
      <w:r>
        <w:rPr>
          <w:rFonts w:ascii="Times New Roman;Times;serif" w:hAnsi="Times New Roman;Times;serif"/>
          <w:b/>
          <w:sz w:val="20"/>
        </w:rPr>
        <w:t xml:space="preserve">   Product Warranty</w:t>
      </w:r>
      <w:r>
        <w:rPr>
          <w:rFonts w:ascii="Times New Roman;Times;serif" w:hAnsi="Times New Roman;Times;serif"/>
          <w:sz w:val="20"/>
        </w:rPr>
        <w:t xml:space="preserve"> </w:t>
      </w:r>
      <w:r>
        <w:rPr>
          <w:rFonts w:ascii="Times New Roman;Times;serif" w:hAnsi="Times New Roman;Times;serif"/>
          <w:b/>
          <w:sz w:val="20"/>
        </w:rPr>
        <w:t>Obligations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accounts for standard product warranty obligations as assurance warranties and records a liability at the time of sale of the related product based on historical warranty experience. The Company also records a liability for specific warranty matters when they become known and are reasonably estimable. The following is a tabular reconciliation of the Company’s standard product warranty liability accounted for as an assurance warranty:</w:t>
      </w:r>
    </w:p>
    <w:p>
      <w:pPr>
        <w:pStyle w:val="TextBody"/>
        <w:bidi w:val="0"/>
        <w:spacing w:before="0" w:after="0"/>
        <w:ind w:left="0" w:right="0" w:hanging="0"/>
        <w:jc w:val="both"/>
        <w:rPr/>
      </w:pPr>
      <w:r>
        <w:rPr/>
        <w:t> </w:t>
      </w:r>
    </w:p>
    <w:tbl>
      <w:tblPr>
        <w:tblW w:w="8976" w:type="dxa"/>
        <w:jc w:val="left"/>
        <w:tblInd w:w="0" w:type="dxa"/>
        <w:tblLayout w:type="fixed"/>
        <w:tblCellMar>
          <w:top w:w="0" w:type="dxa"/>
          <w:left w:w="0" w:type="dxa"/>
          <w:bottom w:w="0" w:type="dxa"/>
          <w:right w:w="0" w:type="dxa"/>
        </w:tblCellMar>
      </w:tblPr>
      <w:tblGrid>
        <w:gridCol w:w="3890"/>
        <w:gridCol w:w="60"/>
        <w:gridCol w:w="176"/>
        <w:gridCol w:w="980"/>
        <w:gridCol w:w="112"/>
        <w:gridCol w:w="84"/>
        <w:gridCol w:w="176"/>
        <w:gridCol w:w="980"/>
        <w:gridCol w:w="80"/>
        <w:gridCol w:w="60"/>
        <w:gridCol w:w="161"/>
        <w:gridCol w:w="898"/>
        <w:gridCol w:w="103"/>
        <w:gridCol w:w="77"/>
        <w:gridCol w:w="161"/>
        <w:gridCol w:w="898"/>
        <w:gridCol w:w="80"/>
      </w:tblGrid>
      <w:tr>
        <w:trPr/>
        <w:tc>
          <w:tcPr>
            <w:tcW w:w="3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11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0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128,354</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110,717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131,922</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110,987</w:t>
            </w:r>
          </w:p>
        </w:tc>
        <w:tc>
          <w:tcPr>
            <w:tcW w:w="80"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(20,454</w:t>
            </w:r>
          </w:p>
        </w:tc>
        <w:tc>
          <w:tcPr>
            <w:tcW w:w="11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(18,868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(44,430</w:t>
            </w:r>
          </w:p>
        </w:tc>
        <w:tc>
          <w:tcPr>
            <w:tcW w:w="1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(39,755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warranty issued</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20,286</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39,315</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43,944</w:t>
            </w:r>
          </w:p>
        </w:tc>
        <w:tc>
          <w:tcPr>
            <w:tcW w:w="80"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estimates for pre-existing warranties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2,582</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3,832</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4,768</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8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Warranty reserve assumed in acquisition</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112" w:type="dxa"/>
            <w:tcBorders/>
            <w:shd w:fill="CCEEFF" w:val="clear"/>
            <w:vAlign w:val="center"/>
          </w:tcPr>
          <w:p>
            <w:pPr>
              <w:pStyle w:val="TableContents"/>
              <w:bidi w:val="0"/>
              <w:spacing w:before="0" w:after="0"/>
              <w:ind w:left="0" w:right="0" w:hanging="0"/>
              <w:jc w:val="left"/>
              <w:rPr/>
            </w:pPr>
            <w:r>
              <w:rPr/>
              <w:t> </w:t>
            </w:r>
          </w:p>
        </w:tc>
        <w:tc>
          <w:tcPr>
            <w:tcW w:w="84" w:type="dxa"/>
            <w:tcBorders/>
            <w:shd w:fill="CCEEFF" w:val="clear"/>
            <w:vAlign w:val="center"/>
          </w:tcPr>
          <w:p>
            <w:pPr>
              <w:pStyle w:val="TableContents"/>
              <w:bidi w:val="0"/>
              <w:spacing w:before="0" w:after="0"/>
              <w:ind w:left="0" w:right="0" w:hanging="0"/>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w:t>
            </w:r>
          </w:p>
        </w:tc>
        <w:tc>
          <w:tcPr>
            <w:tcW w:w="103" w:type="dxa"/>
            <w:tcBorders/>
            <w:shd w:fill="CCEEFF" w:val="clear"/>
            <w:vAlign w:val="center"/>
          </w:tcPr>
          <w:p>
            <w:pPr>
              <w:pStyle w:val="TableContents"/>
              <w:bidi w:val="0"/>
              <w:spacing w:before="0" w:after="0"/>
              <w:ind w:left="0" w:right="0" w:hanging="0"/>
              <w:jc w:val="left"/>
              <w:rPr/>
            </w:pPr>
            <w:r>
              <w:rPr/>
              <w:t> </w:t>
            </w:r>
          </w:p>
        </w:tc>
        <w:tc>
          <w:tcPr>
            <w:tcW w:w="77" w:type="dxa"/>
            <w:tcBorders/>
            <w:shd w:fill="CCEEFF" w:val="clear"/>
            <w:vAlign w:val="center"/>
          </w:tcPr>
          <w:p>
            <w:pPr>
              <w:pStyle w:val="TableContents"/>
              <w:bidi w:val="0"/>
              <w:spacing w:before="0" w:after="0"/>
              <w:ind w:left="0" w:right="0" w:hanging="0"/>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0"/>
              <w:jc w:val="left"/>
              <w:rPr/>
            </w:pPr>
            <w:r>
              <w:rPr/>
              <w:t> </w:t>
            </w:r>
          </w:p>
        </w:tc>
      </w:tr>
      <w:tr>
        <w:trPr/>
        <w:tc>
          <w:tcPr>
            <w:tcW w:w="38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130,850</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119,944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130,850</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119,944</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also sells extended warranty coverage for certain products, which it accounts for as a service warranty. The sales of extended warranties are recorded as deferred revenue, and typically have a duration of five to ten years. The deferred revenue related to extended warranty coverage is amortized over the duration of the extended warranty contract period, following the standard warranty period, using the straight-line method. The Company believes the straight-line method is appropriate because the performance obligation is satisfied based on the passage of time. The amortization of deferred revenue is recorded to net sales in the condensed consolidated statements of comprehensive income. The following is a tabular reconciliation of the deferred revenue related to extended warranty coverage:</w:t>
      </w:r>
    </w:p>
    <w:p>
      <w:pPr>
        <w:pStyle w:val="TextBody"/>
        <w:bidi w:val="0"/>
        <w:spacing w:before="0" w:after="0"/>
        <w:ind w:left="0" w:right="0" w:hanging="0"/>
        <w:jc w:val="both"/>
        <w:rPr/>
      </w:pPr>
      <w:r>
        <w:rPr/>
        <w:t> </w:t>
      </w:r>
    </w:p>
    <w:tbl>
      <w:tblPr>
        <w:tblW w:w="8571" w:type="dxa"/>
        <w:jc w:val="left"/>
        <w:tblInd w:w="0" w:type="dxa"/>
        <w:tblLayout w:type="fixed"/>
        <w:tblCellMar>
          <w:top w:w="0" w:type="dxa"/>
          <w:left w:w="0" w:type="dxa"/>
          <w:bottom w:w="0" w:type="dxa"/>
          <w:right w:w="0" w:type="dxa"/>
        </w:tblCellMar>
      </w:tblPr>
      <w:tblGrid>
        <w:gridCol w:w="3485"/>
        <w:gridCol w:w="60"/>
        <w:gridCol w:w="176"/>
        <w:gridCol w:w="980"/>
        <w:gridCol w:w="112"/>
        <w:gridCol w:w="84"/>
        <w:gridCol w:w="176"/>
        <w:gridCol w:w="980"/>
        <w:gridCol w:w="80"/>
        <w:gridCol w:w="60"/>
        <w:gridCol w:w="161"/>
        <w:gridCol w:w="898"/>
        <w:gridCol w:w="103"/>
        <w:gridCol w:w="77"/>
        <w:gridCol w:w="161"/>
        <w:gridCol w:w="898"/>
        <w:gridCol w:w="80"/>
      </w:tblGrid>
      <w:tr>
        <w:trPr/>
        <w:tc>
          <w:tcPr>
            <w:tcW w:w="3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11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0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226,631</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194,403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219,404</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186,922</w:t>
            </w:r>
          </w:p>
        </w:tc>
        <w:tc>
          <w:tcPr>
            <w:tcW w:w="80"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 contracts issued</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16,253</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33,075</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32,733</w:t>
            </w:r>
          </w:p>
        </w:tc>
        <w:tc>
          <w:tcPr>
            <w:tcW w:w="80"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deferred revenue contracts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(9,960</w:t>
            </w:r>
          </w:p>
        </w:tc>
        <w:tc>
          <w:tcPr>
            <w:tcW w:w="1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(8,668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(19,555</w:t>
            </w:r>
          </w:p>
        </w:tc>
        <w:tc>
          <w:tcPr>
            <w:tcW w:w="1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232,924</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202,650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232,924</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202,650</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The timing of recognition of the Company’s deferred revenue balance related to extended warranties as of </w:t>
      </w:r>
      <w:r>
        <w:rPr>
          <w:rStyle w:val="Emphasis"/>
          <w:rFonts w:ascii="Times New Roman;Times;serif" w:hAnsi="Times New Roman;Times;serif"/>
          <w:sz w:val="20"/>
        </w:rPr>
        <w:t xml:space="preserve"> June 30, 2026</w:t>
      </w:r>
      <w:r>
        <w:rPr>
          <w:rFonts w:ascii="Times New Roman;Times;serif" w:hAnsi="Times New Roman;Times;serif"/>
          <w:sz w:val="20"/>
        </w:rPr>
        <w:t xml:space="preserve"> is as follows:</w:t>
      </w:r>
    </w:p>
    <w:p>
      <w:pPr>
        <w:pStyle w:val="TextBody"/>
        <w:bidi w:val="0"/>
        <w:spacing w:before="0" w:after="0"/>
        <w:ind w:left="0" w:right="0" w:hanging="0"/>
        <w:jc w:val="both"/>
        <w:rPr/>
      </w:pPr>
      <w:r>
        <w:rPr/>
        <w:t> </w:t>
      </w:r>
    </w:p>
    <w:tbl>
      <w:tblPr>
        <w:tblW w:w="2520" w:type="dxa"/>
        <w:jc w:val="left"/>
        <w:tblInd w:w="0" w:type="dxa"/>
        <w:tblLayout w:type="fixed"/>
        <w:tblCellMar>
          <w:top w:w="0" w:type="dxa"/>
          <w:left w:w="0" w:type="dxa"/>
          <w:bottom w:w="0" w:type="dxa"/>
          <w:right w:w="0" w:type="dxa"/>
        </w:tblCellMar>
      </w:tblPr>
      <w:tblGrid>
        <w:gridCol w:w="1580"/>
        <w:gridCol w:w="60"/>
        <w:gridCol w:w="125"/>
        <w:gridCol w:w="695"/>
        <w:gridCol w:w="60"/>
      </w:tblGrid>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21,376</w:t>
            </w:r>
          </w:p>
        </w:tc>
        <w:tc>
          <w:tcPr>
            <w:tcW w:w="6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43,980</w:t>
            </w:r>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42,922</w:t>
            </w:r>
          </w:p>
        </w:tc>
        <w:tc>
          <w:tcPr>
            <w:tcW w:w="6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36,437</w:t>
            </w:r>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28,940</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5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After 2030</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59,269</w:t>
            </w:r>
          </w:p>
        </w:tc>
        <w:tc>
          <w:tcPr>
            <w:tcW w:w="60" w:type="dxa"/>
            <w:tcBorders/>
            <w:shd w:fill="FFFFFF" w:val="clear"/>
            <w:vAlign w:val="center"/>
          </w:tcPr>
          <w:p>
            <w:pPr>
              <w:pStyle w:val="TableContents"/>
              <w:bidi w:val="0"/>
              <w:spacing w:before="0" w:after="0"/>
              <w:jc w:val="left"/>
              <w:rPr/>
            </w:pPr>
            <w:r>
              <w:rPr/>
              <w:t> </w:t>
            </w:r>
          </w:p>
        </w:tc>
      </w:tr>
      <w:tr>
        <w:trPr/>
        <w:tc>
          <w:tcPr>
            <w:tcW w:w="158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232,924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Standard product warranty obligations and extended warranty related deferred revenues are included in the condensed consolidated balance sheets as follows:</w:t>
      </w:r>
    </w:p>
    <w:p>
      <w:pPr>
        <w:pStyle w:val="TextBody"/>
        <w:bidi w:val="0"/>
        <w:spacing w:before="0" w:after="0"/>
        <w:ind w:left="0" w:right="0" w:hanging="0"/>
        <w:jc w:val="left"/>
        <w:rPr/>
      </w:pPr>
      <w:r>
        <w:rPr/>
        <w:t> </w:t>
      </w:r>
    </w:p>
    <w:tbl>
      <w:tblPr>
        <w:tblW w:w="6304" w:type="dxa"/>
        <w:jc w:val="left"/>
        <w:tblInd w:w="0" w:type="dxa"/>
        <w:tblLayout w:type="fixed"/>
        <w:tblCellMar>
          <w:top w:w="0" w:type="dxa"/>
          <w:left w:w="0" w:type="dxa"/>
          <w:bottom w:w="0" w:type="dxa"/>
          <w:right w:w="0" w:type="dxa"/>
        </w:tblCellMar>
      </w:tblPr>
      <w:tblGrid>
        <w:gridCol w:w="4100"/>
        <w:gridCol w:w="60"/>
        <w:gridCol w:w="125"/>
        <w:gridCol w:w="695"/>
        <w:gridCol w:w="60"/>
        <w:gridCol w:w="60"/>
        <w:gridCol w:w="173"/>
        <w:gridCol w:w="971"/>
        <w:gridCol w:w="60"/>
      </w:tblGrid>
      <w:tr>
        <w:trPr/>
        <w:tc>
          <w:tcPr>
            <w:tcW w:w="4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Product warranty liability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 accrued product warranty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43,473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44,716</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41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portion - other long-term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87,377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87,206</w:t>
            </w:r>
          </w:p>
        </w:tc>
        <w:tc>
          <w:tcPr>
            <w:tcW w:w="60" w:type="dxa"/>
            <w:tcBorders/>
            <w:shd w:fill="CCEEFF" w:val="clear"/>
            <w:vAlign w:val="center"/>
          </w:tcPr>
          <w:p>
            <w:pPr>
              <w:pStyle w:val="TableContents"/>
              <w:bidi w:val="0"/>
              <w:spacing w:before="0" w:after="0"/>
              <w:jc w:val="left"/>
              <w:rPr/>
            </w:pPr>
            <w:r>
              <w:rPr/>
              <w:t> </w:t>
            </w:r>
          </w:p>
        </w:tc>
      </w:tr>
      <w:tr>
        <w:trPr/>
        <w:tc>
          <w:tcPr>
            <w:tcW w:w="410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130,850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131,922</w:t>
            </w:r>
          </w:p>
        </w:tc>
        <w:tc>
          <w:tcPr>
            <w:tcW w:w="6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Deferred revenue related to extended warranties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 other accrued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42,586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38,958</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410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portion - deferred revenue</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190,338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7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180,446</w:t>
            </w:r>
          </w:p>
        </w:tc>
        <w:tc>
          <w:tcPr>
            <w:tcW w:w="60" w:type="dxa"/>
            <w:tcBorders/>
            <w:shd w:fill="FFFFFF" w:val="clear"/>
            <w:vAlign w:val="center"/>
          </w:tcPr>
          <w:p>
            <w:pPr>
              <w:pStyle w:val="TableContents"/>
              <w:bidi w:val="0"/>
              <w:spacing w:before="0" w:after="0"/>
              <w:jc w:val="left"/>
              <w:rPr/>
            </w:pPr>
            <w:r>
              <w:rPr/>
              <w:t> </w:t>
            </w:r>
          </w:p>
        </w:tc>
      </w:tr>
      <w:tr>
        <w:trPr/>
        <w:tc>
          <w:tcPr>
            <w:tcW w:w="410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232,924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219,404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11.</w:t>
      </w:r>
      <w:r>
        <w:rPr>
          <w:rFonts w:ascii="Times New Roman;Times;serif" w:hAnsi="Times New Roman;Times;serif"/>
          <w:b/>
          <w:sz w:val="20"/>
        </w:rPr>
        <w:t>   Contract Balances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Customer contracts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give rise to timing differences between revenue recognition, billings, and cash collections, resulting in the recognition of billed accounts receivable, unbilled receivables (contract assets), or deferred revenue (contract liabilities) within the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Contract assets primarily consist of unbilled receivables associated with contracts accounted for under the cost-to-cost method of revenue recognition, where revenue recognized based on costs incurred exceeds amounts billed to customers. Contract assets are included in prepaid expenses and other current assets in the condensed consolidated balance sheets.  The balance of contract assets was $78,730 and $8,867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Contract liabilities primarily consist of customer deposits that exceed revenue recognized. Contract liabilities are included in other accrued liabilities (for the portion expected to be recognized within </w:t>
      </w:r>
      <w:r>
        <w:rPr>
          <w:rStyle w:val="Emphasis"/>
          <w:rFonts w:ascii="Times New Roman" w:hAnsi="Times New Roman"/>
          <w:caps w:val="false"/>
          <w:smallCaps w:val="false"/>
          <w:sz w:val="20"/>
        </w:rPr>
        <w:t>twelve</w:t>
      </w:r>
      <w:r>
        <w:rPr>
          <w:rFonts w:ascii="Times New Roman" w:hAnsi="Times New Roman"/>
          <w:caps w:val="false"/>
          <w:smallCaps w:val="false"/>
          <w:sz w:val="20"/>
        </w:rPr>
        <w:t> months) or long-term deferred revenue (for the portion </w:t>
      </w:r>
      <w:r>
        <w:rPr>
          <w:rStyle w:val="Emphasis"/>
          <w:rFonts w:ascii="Times New Roman" w:hAnsi="Times New Roman"/>
          <w:caps w:val="false"/>
          <w:smallCaps w:val="false"/>
          <w:sz w:val="20"/>
        </w:rPr>
        <w:t>not</w:t>
      </w:r>
      <w:r>
        <w:rPr>
          <w:rFonts w:ascii="Times New Roman" w:hAnsi="Times New Roman"/>
          <w:caps w:val="false"/>
          <w:smallCaps w:val="false"/>
          <w:sz w:val="20"/>
        </w:rPr>
        <w:t> expected to be recognized within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in the condensed consolidated balance sheets, until revenue is recognized.  The balance of contract liabilities, excluding the extended warranty deferred revenue balance disclosed in Note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was $117,918 and $151,257 as of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respectively.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Company recognized revenue of $90,360 related to amounts included in the </w:t>
      </w:r>
      <w:r>
        <w:rPr>
          <w:rStyle w:val="Emphasis"/>
          <w:rFonts w:ascii="Times New Roman" w:hAnsi="Times New Roman"/>
          <w:caps w:val="false"/>
          <w:smallCaps w:val="false"/>
          <w:sz w:val="20"/>
        </w:rPr>
        <w:t>December 31, 2025 </w:t>
      </w:r>
      <w:r>
        <w:rPr>
          <w:rFonts w:ascii="Times New Roman" w:hAnsi="Times New Roman"/>
          <w:caps w:val="false"/>
          <w:smallCaps w:val="false"/>
          <w:sz w:val="20"/>
        </w:rPr>
        <w:t>contract liability balance.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2026</w:t>
      </w:r>
      <w:r>
        <w:rPr>
          <w:rFonts w:ascii="Times New Roman" w:hAnsi="Times New Roman"/>
          <w:i/>
          <w:caps w:val="false"/>
          <w:smallCaps w:val="false"/>
          <w:sz w:val="20"/>
        </w:rPr>
        <w:t>,</w:t>
      </w:r>
      <w:r>
        <w:rPr>
          <w:rFonts w:ascii="Times New Roman" w:hAnsi="Times New Roman"/>
          <w:caps w:val="false"/>
          <w:smallCaps w:val="false"/>
          <w:sz w:val="20"/>
        </w:rPr>
        <w:t> the aggregate amount of revenue that the Company expects to recognize on remaining performance obligations (excluding extended warranty) was approximately $143,000, of which approximately 80% is expected to be recognized as revenue over the next two years. We have applied the practical expedient to exclude the value of remaining performance obligations for contracts with an original term of </w:t>
      </w:r>
      <w:r>
        <w:rPr>
          <w:rStyle w:val="Emphasis"/>
          <w:rFonts w:ascii="Times New Roman" w:hAnsi="Times New Roman"/>
          <w:caps w:val="false"/>
          <w:smallCaps w:val="false"/>
          <w:sz w:val="20"/>
        </w:rPr>
        <w:t>one</w:t>
      </w:r>
      <w:r>
        <w:rPr>
          <w:rFonts w:ascii="Times New Roman" w:hAnsi="Times New Roman"/>
          <w:caps w:val="false"/>
          <w:smallCaps w:val="false"/>
          <w:sz w:val="20"/>
        </w:rPr>
        <w:t> year or less.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12</w:t>
      </w:r>
      <w:r>
        <w:rPr>
          <w:rFonts w:ascii="Times New Roman;Times;serif" w:hAnsi="Times New Roman;Times;serif"/>
          <w:b/>
          <w:sz w:val="20"/>
        </w:rPr>
        <w:t>.   Credit Agreements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Short-term borrowings included in the condensed consolidated balance sheets as of </w:t>
      </w:r>
      <w:r>
        <w:rPr>
          <w:rStyle w:val="Emphasis"/>
          <w:rFonts w:ascii="Times New Roman;Times;serif" w:hAnsi="Times New Roman;Times;serif"/>
          <w:sz w:val="20"/>
        </w:rPr>
        <w:t>June 30,</w:t>
      </w:r>
      <w:r>
        <w:rPr>
          <w:rFonts w:ascii="Times New Roman;Times;serif" w:hAnsi="Times New Roman;Times;serif"/>
          <w:sz w:val="20"/>
        </w:rPr>
        <w:t xml:space="preserve"> </w:t>
      </w:r>
      <w:r>
        <w:rPr>
          <w:rStyle w:val="Emphasis"/>
          <w:rFonts w:ascii="Times New Roman;Times;serif" w:hAnsi="Times New Roman;Times;serif"/>
          <w:sz w:val="20"/>
        </w:rPr>
        <w:t>2026,</w:t>
      </w:r>
      <w:r>
        <w:rPr>
          <w:rFonts w:ascii="Times New Roman;Times;serif" w:hAnsi="Times New Roman;Times;serif"/>
          <w:sz w:val="20"/>
        </w:rPr>
        <w:t xml:space="preserve"> and </w:t>
      </w:r>
      <w:r>
        <w:rPr>
          <w:rStyle w:val="Emphasis"/>
          <w:rFonts w:ascii="Times New Roman;Times;serif" w:hAnsi="Times New Roman;Times;serif"/>
          <w:sz w:val="20"/>
        </w:rPr>
        <w:t xml:space="preserve">December 31, 2025, </w:t>
      </w:r>
      <w:r>
        <w:rPr>
          <w:rFonts w:ascii="Times New Roman;Times;serif" w:hAnsi="Times New Roman;Times;serif"/>
          <w:sz w:val="20"/>
        </w:rPr>
        <w:t xml:space="preserve">consisted of borrowings by the Company’s foreign subsidiaries on local lines of </w:t>
      </w:r>
      <w:r>
        <w:rPr>
          <w:rFonts w:ascii="Times New Roman;Times;serif" w:hAnsi="Times New Roman;Times;serif"/>
          <w:sz w:val="20"/>
          <w:shd w:fill="FFFFFF" w:val="clear"/>
        </w:rPr>
        <w:t>credit totaling $48,318 and $50,618</w:t>
      </w:r>
      <w:r>
        <w:rPr>
          <w:rFonts w:ascii="Times New Roman;Times;serif" w:hAnsi="Times New Roman;Times;serif"/>
          <w:sz w:val="20"/>
        </w:rPr>
        <w:t xml:space="preserve">, respectively. As of </w:t>
      </w:r>
      <w:r>
        <w:rPr>
          <w:rStyle w:val="Emphasis"/>
          <w:rFonts w:ascii="Times New Roman;Times;serif" w:hAnsi="Times New Roman;Times;serif"/>
          <w:sz w:val="20"/>
        </w:rPr>
        <w:t>June 30,</w:t>
      </w:r>
      <w:r>
        <w:rPr>
          <w:rFonts w:ascii="Times New Roman;Times;serif" w:hAnsi="Times New Roman;Times;serif"/>
          <w:sz w:val="20"/>
        </w:rPr>
        <w:t xml:space="preserve"> </w:t>
      </w:r>
      <w:r>
        <w:rPr>
          <w:rStyle w:val="Emphasis"/>
          <w:rFonts w:ascii="Times New Roman;Times;serif" w:hAnsi="Times New Roman;Times;serif"/>
          <w:sz w:val="20"/>
        </w:rPr>
        <w:t>2026,</w:t>
      </w:r>
      <w:r>
        <w:rPr>
          <w:rFonts w:ascii="Times New Roman;Times;serif" w:hAnsi="Times New Roman;Times;serif"/>
          <w:sz w:val="20"/>
        </w:rPr>
        <w:t xml:space="preserve"> the weighted-average interest rate on the short-te</w:t>
      </w:r>
      <w:r>
        <w:rPr>
          <w:rFonts w:ascii="Times New Roman;Times;serif" w:hAnsi="Times New Roman;Times;serif"/>
          <w:sz w:val="20"/>
          <w:shd w:fill="FFFFFF" w:val="clear"/>
        </w:rPr>
        <w:t>rm borrowings was 6.15%.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Long-term borrowings are included in the condensed consolidated balance sheets as follows:</w:t>
      </w:r>
    </w:p>
    <w:p>
      <w:pPr>
        <w:pStyle w:val="TextBody"/>
        <w:bidi w:val="0"/>
        <w:spacing w:before="0" w:after="0"/>
        <w:ind w:left="0" w:right="0" w:hanging="0"/>
        <w:jc w:val="both"/>
        <w:rPr/>
      </w:pPr>
      <w:r>
        <w:rPr/>
        <w:t> </w:t>
      </w:r>
    </w:p>
    <w:tbl>
      <w:tblPr>
        <w:tblW w:w="7094" w:type="dxa"/>
        <w:jc w:val="left"/>
        <w:tblInd w:w="0" w:type="dxa"/>
        <w:tblLayout w:type="fixed"/>
        <w:tblCellMar>
          <w:top w:w="0" w:type="dxa"/>
          <w:left w:w="0" w:type="dxa"/>
          <w:bottom w:w="0" w:type="dxa"/>
          <w:right w:w="0" w:type="dxa"/>
        </w:tblCellMar>
      </w:tblPr>
      <w:tblGrid>
        <w:gridCol w:w="4685"/>
        <w:gridCol w:w="60"/>
        <w:gridCol w:w="125"/>
        <w:gridCol w:w="845"/>
        <w:gridCol w:w="80"/>
        <w:gridCol w:w="60"/>
        <w:gridCol w:w="147"/>
        <w:gridCol w:w="997"/>
        <w:gridCol w:w="95"/>
      </w:tblGrid>
      <w:tr>
        <w:trPr/>
        <w:tc>
          <w:tcPr>
            <w:tcW w:w="4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December 31,</w:t>
            </w:r>
          </w:p>
        </w:tc>
        <w:tc>
          <w:tcPr>
            <w:tcW w:w="95" w:type="dxa"/>
            <w:tcBorders/>
            <w:shd w:fill="FFFF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95" w:type="dxa"/>
            <w:tcBorders/>
            <w:shd w:fill="FFFFFF" w:val="clear"/>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Facility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Tranche A Term Loan Facility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700,000</w:t>
            </w:r>
          </w:p>
        </w:tc>
        <w:tc>
          <w:tcPr>
            <w:tcW w:w="95" w:type="dxa"/>
            <w:tcBorders/>
            <w:shd w:fill="FFFFFF" w:val="clear"/>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 Loan B Facility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491,250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493,750</w:t>
            </w:r>
          </w:p>
        </w:tc>
        <w:tc>
          <w:tcPr>
            <w:tcW w:w="95" w:type="dxa"/>
            <w:tcBorders/>
            <w:shd w:fill="CCEE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Original issue discount and deferred financing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(5,673</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obligations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90,365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90,915</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46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9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3,456</w:t>
            </w:r>
          </w:p>
        </w:tc>
        <w:tc>
          <w:tcPr>
            <w:tcW w:w="95" w:type="dxa"/>
            <w:tcBorders/>
            <w:shd w:fill="FFFFFF" w:val="clear"/>
            <w:vAlign w:val="center"/>
          </w:tcPr>
          <w:p>
            <w:pPr>
              <w:pStyle w:val="TableContents"/>
              <w:bidi w:val="0"/>
              <w:spacing w:before="0" w:after="0"/>
              <w:ind w:left="0" w:right="0" w:hanging="0"/>
              <w:jc w:val="left"/>
              <w:rPr/>
            </w:pPr>
            <w:r>
              <w:rPr/>
              <w:t> </w:t>
            </w:r>
          </w:p>
        </w:tc>
      </w:tr>
      <w:tr>
        <w:trPr/>
        <w:tc>
          <w:tcPr>
            <w:tcW w:w="46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1,281,010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 </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1,282,448</w:t>
            </w:r>
          </w:p>
        </w:tc>
        <w:tc>
          <w:tcPr>
            <w:tcW w:w="95" w:type="dxa"/>
            <w:tcBorders/>
            <w:shd w:fill="CCEEFF" w:val="clear"/>
            <w:vAlign w:val="center"/>
          </w:tcPr>
          <w:p>
            <w:pPr>
              <w:pStyle w:val="TableContents"/>
              <w:bidi w:val="0"/>
              <w:spacing w:before="0" w:after="0"/>
              <w:jc w:val="left"/>
              <w:rPr/>
            </w:pPr>
            <w:r>
              <w:rPr/>
              <w:t> </w:t>
            </w:r>
          </w:p>
        </w:tc>
      </w:tr>
      <w:tr>
        <w:trPr/>
        <w:tc>
          <w:tcPr>
            <w:tcW w:w="46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 of debt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21,277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12,729</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46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 of finance lease obligations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10,775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9,463</w:t>
            </w:r>
          </w:p>
        </w:tc>
        <w:tc>
          <w:tcPr>
            <w:tcW w:w="95" w:type="dxa"/>
            <w:tcBorders/>
            <w:shd w:fill="CCEEFF" w:val="clear"/>
            <w:vAlign w:val="center"/>
          </w:tcPr>
          <w:p>
            <w:pPr>
              <w:pStyle w:val="TableContents"/>
              <w:bidi w:val="0"/>
              <w:spacing w:before="0" w:after="0"/>
              <w:ind w:left="0" w:right="0" w:hanging="0"/>
              <w:jc w:val="left"/>
              <w:rPr/>
            </w:pPr>
            <w:r>
              <w:rPr/>
              <w:t> </w:t>
            </w:r>
          </w:p>
        </w:tc>
      </w:tr>
      <w:tr>
        <w:trPr/>
        <w:tc>
          <w:tcPr>
            <w:tcW w:w="46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borrowings and finance lease obligations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1,248,958</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1,260,256</w:t>
            </w:r>
          </w:p>
        </w:tc>
        <w:tc>
          <w:tcPr>
            <w:tcW w:w="95"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2026</w:t>
      </w:r>
      <w:r>
        <w:rPr>
          <w:rFonts w:ascii="Times New Roman" w:hAnsi="Times New Roman"/>
          <w:caps w:val="false"/>
          <w:smallCaps w:val="false"/>
          <w:sz w:val="20"/>
          <w:shd w:fill="FFFFFF" w:val="clear"/>
        </w:rPr>
        <w:t>, there were $4,437 of unamortized deferred financing costs associated with the New Revolving Facility (as defined below) included in operating lease and other assets in the condensed consolidated balance sheets, and $5,142 of unamortized original issue discount and deferred financing costs linked to the New Tranche A Term Loan Facility and Term Loan B Facility (as defined collectively below) included in long-term borrowings and finance lease obligations in the condensed consolidated balance sheets.</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The New Tranche A Term Loan Facility and New Revolving Facility mature on </w:t>
      </w:r>
      <w:r>
        <w:rPr>
          <w:rStyle w:val="Emphasis"/>
          <w:rFonts w:ascii="Times New Roman" w:hAnsi="Times New Roman"/>
          <w:caps w:val="false"/>
          <w:smallCaps w:val="false"/>
          <w:sz w:val="20"/>
        </w:rPr>
        <w:t xml:space="preserve">July 1, 2030.  </w:t>
      </w:r>
      <w:r>
        <w:rPr>
          <w:rFonts w:ascii="Times New Roman" w:hAnsi="Times New Roman"/>
          <w:caps w:val="false"/>
          <w:smallCaps w:val="false"/>
          <w:sz w:val="20"/>
        </w:rPr>
        <w:t>The New Tranche A Term Loan Facility is repayable in quarterly installments commencing </w:t>
      </w:r>
      <w:r>
        <w:rPr>
          <w:rStyle w:val="Emphasis"/>
          <w:rFonts w:ascii="Times New Roman" w:hAnsi="Times New Roman"/>
          <w:caps w:val="false"/>
          <w:smallCaps w:val="false"/>
          <w:sz w:val="20"/>
        </w:rPr>
        <w:t xml:space="preserve"> October 1, 2026, </w:t>
      </w:r>
      <w:r>
        <w:rPr>
          <w:rFonts w:ascii="Times New Roman" w:hAnsi="Times New Roman"/>
          <w:caps w:val="false"/>
          <w:smallCaps w:val="false"/>
          <w:sz w:val="20"/>
        </w:rPr>
        <w:t xml:space="preserve">with a balloon payment due at maturity. The Term Loan B Facility matures on </w:t>
      </w:r>
      <w:r>
        <w:rPr>
          <w:rStyle w:val="Emphasis"/>
          <w:rFonts w:ascii="Times New Roman" w:hAnsi="Times New Roman"/>
          <w:caps w:val="false"/>
          <w:smallCaps w:val="false"/>
          <w:sz w:val="20"/>
        </w:rPr>
        <w:t xml:space="preserve">July 3, 2031, </w:t>
      </w:r>
      <w:r>
        <w:rPr>
          <w:rFonts w:ascii="Times New Roman" w:hAnsi="Times New Roman"/>
          <w:caps w:val="false"/>
          <w:smallCaps w:val="false"/>
          <w:sz w:val="20"/>
        </w:rPr>
        <w:t xml:space="preserve">and is repayable in quarterly installments which commenced </w:t>
      </w:r>
      <w:r>
        <w:rPr>
          <w:rStyle w:val="Emphasis"/>
          <w:rFonts w:ascii="Times New Roman" w:hAnsi="Times New Roman"/>
          <w:caps w:val="false"/>
          <w:smallCaps w:val="false"/>
          <w:sz w:val="20"/>
        </w:rPr>
        <w:t xml:space="preserve">September 2024, </w:t>
      </w:r>
      <w:r>
        <w:rPr>
          <w:rFonts w:ascii="Times New Roman" w:hAnsi="Times New Roman"/>
          <w:caps w:val="false"/>
          <w:smallCaps w:val="false"/>
          <w:sz w:val="20"/>
        </w:rPr>
        <w:t xml:space="preserve">with a balloon payment due at maturity. Maturities of the Company's New Tranche A Term Loan Facility, Term Loan B Facility, and New Revolving Facility outstanding on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before considering original issue discount and deferred financing costs, were as follows:</w:t>
      </w:r>
    </w:p>
    <w:p>
      <w:pPr>
        <w:pStyle w:val="TextBody"/>
        <w:bidi w:val="0"/>
        <w:spacing w:before="0" w:after="0"/>
        <w:jc w:val="both"/>
        <w:rPr/>
      </w:pPr>
      <w:r>
        <w:rPr/>
        <w:t xml:space="preserve">   </w:t>
      </w:r>
    </w:p>
    <w:tbl>
      <w:tblPr>
        <w:tblW w:w="7842" w:type="dxa"/>
        <w:jc w:val="left"/>
        <w:tblInd w:w="0" w:type="dxa"/>
        <w:tblLayout w:type="fixed"/>
        <w:tblCellMar>
          <w:top w:w="0" w:type="dxa"/>
          <w:left w:w="0" w:type="dxa"/>
          <w:bottom w:w="0" w:type="dxa"/>
          <w:right w:w="0" w:type="dxa"/>
        </w:tblCellMar>
      </w:tblPr>
      <w:tblGrid>
        <w:gridCol w:w="455"/>
        <w:gridCol w:w="60"/>
        <w:gridCol w:w="389"/>
        <w:gridCol w:w="2165"/>
        <w:gridCol w:w="60"/>
        <w:gridCol w:w="60"/>
        <w:gridCol w:w="277"/>
        <w:gridCol w:w="1542"/>
        <w:gridCol w:w="60"/>
        <w:gridCol w:w="60"/>
        <w:gridCol w:w="953"/>
        <w:gridCol w:w="611"/>
        <w:gridCol w:w="60"/>
        <w:gridCol w:w="60"/>
        <w:gridCol w:w="125"/>
        <w:gridCol w:w="845"/>
        <w:gridCol w:w="60"/>
      </w:tblGrid>
      <w:tr>
        <w:trPr/>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Tranche A Term Loan Facility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Term Loan B Facility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Revolving Facility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1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4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6,875</w:t>
            </w:r>
          </w:p>
        </w:tc>
        <w:tc>
          <w:tcPr>
            <w:tcW w:w="60" w:type="dxa"/>
            <w:tcBorders/>
            <w:shd w:fill="CCEEFF" w:val="clear"/>
            <w:vAlign w:val="center"/>
          </w:tcPr>
          <w:p>
            <w:pPr>
              <w:pStyle w:val="TableContents"/>
              <w:bidi w:val="0"/>
              <w:spacing w:before="0" w:after="283"/>
              <w:jc w:val="left"/>
              <w:rPr/>
            </w:pPr>
            <w:r>
              <w:rPr/>
              <w:t> </w:t>
            </w:r>
          </w:p>
        </w:tc>
      </w:tr>
      <w:tr>
        <w:trPr/>
        <w:tc>
          <w:tcPr>
            <w:tcW w:w="4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ind w:left="0" w:right="0" w:hanging="0"/>
              <w:jc w:val="left"/>
              <w:rPr/>
            </w:pPr>
            <w:r>
              <w:rPr/>
              <w:t> </w:t>
            </w:r>
          </w:p>
        </w:tc>
        <w:tc>
          <w:tcPr>
            <w:tcW w:w="21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ind w:left="0" w:right="0" w:hanging="0"/>
              <w:jc w:val="left"/>
              <w:rPr/>
            </w:pPr>
            <w:r>
              <w:rPr/>
              <w:t> </w:t>
            </w:r>
          </w:p>
        </w:tc>
        <w:tc>
          <w:tcPr>
            <w:tcW w:w="15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ind w:left="0" w:right="0" w:hanging="0"/>
              <w:jc w:val="left"/>
              <w:rPr/>
            </w:pPr>
            <w:r>
              <w:rPr/>
              <w:t> </w:t>
            </w:r>
          </w:p>
        </w:tc>
        <w:tc>
          <w:tcPr>
            <w:tcW w:w="6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26,875</w:t>
            </w:r>
          </w:p>
        </w:tc>
        <w:tc>
          <w:tcPr>
            <w:tcW w:w="60" w:type="dxa"/>
            <w:tcBorders/>
            <w:shd w:fill="FFFFFF" w:val="clear"/>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ind w:left="0" w:right="0" w:hanging="0"/>
              <w:jc w:val="left"/>
              <w:rPr/>
            </w:pPr>
            <w:r>
              <w:rPr/>
              <w:t> </w:t>
            </w:r>
          </w:p>
        </w:tc>
        <w:tc>
          <w:tcPr>
            <w:tcW w:w="21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ind w:left="0" w:right="0" w:hanging="0"/>
              <w:jc w:val="left"/>
              <w:rPr/>
            </w:pPr>
            <w:r>
              <w:rPr/>
              <w:t> </w:t>
            </w:r>
          </w:p>
        </w:tc>
        <w:tc>
          <w:tcPr>
            <w:tcW w:w="15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ind w:left="0" w:right="0" w:hanging="0"/>
              <w:jc w:val="left"/>
              <w:rPr/>
            </w:pPr>
            <w:r>
              <w:rPr/>
              <w:t> </w:t>
            </w:r>
          </w:p>
        </w:tc>
        <w:tc>
          <w:tcPr>
            <w:tcW w:w="6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40,000</w:t>
            </w:r>
          </w:p>
        </w:tc>
        <w:tc>
          <w:tcPr>
            <w:tcW w:w="60" w:type="dxa"/>
            <w:tcBorders/>
            <w:shd w:fill="CCEEFF" w:val="clear"/>
            <w:vAlign w:val="center"/>
          </w:tcPr>
          <w:p>
            <w:pPr>
              <w:pStyle w:val="TableContents"/>
              <w:bidi w:val="0"/>
              <w:spacing w:before="0" w:after="283"/>
              <w:jc w:val="left"/>
              <w:rPr/>
            </w:pPr>
            <w:r>
              <w:rPr/>
              <w:t> </w:t>
            </w:r>
          </w:p>
        </w:tc>
      </w:tr>
      <w:tr>
        <w:trPr/>
        <w:tc>
          <w:tcPr>
            <w:tcW w:w="4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ind w:left="0" w:right="0" w:hanging="0"/>
              <w:jc w:val="left"/>
              <w:rPr/>
            </w:pPr>
            <w:r>
              <w:rPr/>
              <w:t> </w:t>
            </w:r>
          </w:p>
        </w:tc>
        <w:tc>
          <w:tcPr>
            <w:tcW w:w="21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ind w:left="0" w:right="0" w:hanging="0"/>
              <w:jc w:val="left"/>
              <w:rPr/>
            </w:pPr>
            <w:r>
              <w:rPr/>
              <w:t> </w:t>
            </w:r>
          </w:p>
        </w:tc>
        <w:tc>
          <w:tcPr>
            <w:tcW w:w="15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ind w:left="0" w:right="0" w:hanging="0"/>
              <w:jc w:val="left"/>
              <w:rPr/>
            </w:pPr>
            <w:r>
              <w:rPr/>
              <w:t> </w:t>
            </w:r>
          </w:p>
        </w:tc>
        <w:tc>
          <w:tcPr>
            <w:tcW w:w="6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48,750</w:t>
            </w:r>
          </w:p>
        </w:tc>
        <w:tc>
          <w:tcPr>
            <w:tcW w:w="60" w:type="dxa"/>
            <w:tcBorders/>
            <w:shd w:fill="FFFFFF" w:val="clear"/>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ind w:left="0" w:right="0" w:hanging="0"/>
              <w:jc w:val="left"/>
              <w:rPr/>
            </w:pPr>
            <w:r>
              <w:rPr/>
              <w:t> </w:t>
            </w:r>
          </w:p>
        </w:tc>
        <w:tc>
          <w:tcPr>
            <w:tcW w:w="21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ind w:left="0" w:right="0" w:hanging="0"/>
              <w:jc w:val="left"/>
              <w:rPr/>
            </w:pPr>
            <w:r>
              <w:rPr/>
              <w:t> </w:t>
            </w:r>
          </w:p>
        </w:tc>
        <w:tc>
          <w:tcPr>
            <w:tcW w:w="15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ind w:left="0" w:right="0" w:hanging="0"/>
              <w:jc w:val="left"/>
              <w:rPr/>
            </w:pPr>
            <w:r>
              <w:rPr/>
              <w:t> </w:t>
            </w:r>
          </w:p>
        </w:tc>
        <w:tc>
          <w:tcPr>
            <w:tcW w:w="6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600,000</w:t>
            </w:r>
          </w:p>
        </w:tc>
        <w:tc>
          <w:tcPr>
            <w:tcW w:w="60" w:type="dxa"/>
            <w:tcBorders/>
            <w:shd w:fill="CCEEFF" w:val="clear"/>
            <w:vAlign w:val="center"/>
          </w:tcPr>
          <w:p>
            <w:pPr>
              <w:pStyle w:val="TableContents"/>
              <w:bidi w:val="0"/>
              <w:spacing w:before="0" w:after="283"/>
              <w:jc w:val="left"/>
              <w:rPr/>
            </w:pPr>
            <w:r>
              <w:rPr/>
              <w:t> </w:t>
            </w:r>
          </w:p>
        </w:tc>
      </w:tr>
      <w:tr>
        <w:trPr/>
        <w:tc>
          <w:tcPr>
            <w:tcW w:w="4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2031</w:t>
            </w:r>
          </w:p>
        </w:tc>
        <w:tc>
          <w:tcPr>
            <w:tcW w:w="60" w:type="dxa"/>
            <w:tcBorders/>
            <w:shd w:fill="FFFFFF" w:val="clear"/>
            <w:vAlign w:val="center"/>
          </w:tcPr>
          <w:p>
            <w:pPr>
              <w:pStyle w:val="TableContents"/>
              <w:bidi w:val="0"/>
              <w:spacing w:before="0" w:after="283"/>
              <w:jc w:val="left"/>
              <w:rPr/>
            </w:pPr>
            <w:r>
              <w:rPr/>
              <w:t> </w:t>
            </w:r>
          </w:p>
        </w:tc>
        <w:tc>
          <w:tcPr>
            <w:tcW w:w="3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468,750</w:t>
            </w:r>
          </w:p>
        </w:tc>
        <w:tc>
          <w:tcPr>
            <w:tcW w:w="60" w:type="dxa"/>
            <w:tcBorders/>
            <w:shd w:fill="FFFFFF" w:val="clear"/>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3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1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1,191,250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bidi w:val="0"/>
        <w:jc w:val="both"/>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sz w:val="20"/>
        </w:rPr>
        <w:t xml:space="preserve"> </w:t>
      </w:r>
    </w:p>
    <w:p>
      <w:pPr>
        <w:pStyle w:val="TextBody"/>
        <w:bidi w:val="0"/>
        <w:spacing w:before="0" w:after="0"/>
        <w:jc w:val="both"/>
        <w:rPr/>
      </w:pPr>
      <w:r>
        <w:rPr/>
        <w:t xml:space="preserve">  </w:t>
      </w:r>
    </w:p>
    <w:p>
      <w:pPr>
        <w:pStyle w:val="TextBody"/>
        <w:bidi w:val="0"/>
        <w:spacing w:before="0" w:after="0"/>
        <w:jc w:val="both"/>
        <w:rPr/>
      </w:pPr>
      <w:r>
        <w:rPr>
          <w:sz w:val="20"/>
        </w:rPr>
        <w:t xml:space="preserve">The Company’s credit agreements originally provided for a $1,200,000 Tranche B Term Loan Facility (Original Term Loan B Facility) and included a $300,000 uncommitted incremental term loan on that facility. After several amendments, the Original Term Loan B Facility bore interest at rates based on either a base rate plus an applicable margin of 0.75% or adjusted SOFR rate plus an applicable margin of 1.75%, subject to a SOFR floor of 0.0%, and was scheduled to mature on </w:t>
      </w:r>
      <w:r>
        <w:rPr>
          <w:rStyle w:val="Emphasis"/>
          <w:sz w:val="20"/>
        </w:rPr>
        <w:t>December 13, 2026. </w:t>
      </w:r>
      <w:r>
        <w:rPr>
          <w:sz w:val="20"/>
        </w:rPr>
        <w:t xml:space="preserve"> </w:t>
      </w:r>
    </w:p>
    <w:p>
      <w:pPr>
        <w:pStyle w:val="TextBody"/>
        <w:bidi w:val="0"/>
        <w:jc w:val="both"/>
        <w:rPr/>
      </w:pPr>
      <w:r>
        <w:rPr/>
        <w:t xml:space="preserve">  </w:t>
      </w:r>
    </w:p>
    <w:p>
      <w:pPr>
        <w:pStyle w:val="TextBody"/>
        <w:bidi w:val="0"/>
        <w:spacing w:before="0" w:after="0"/>
        <w:ind w:left="0" w:right="0" w:hanging="0"/>
        <w:jc w:val="both"/>
        <w:rPr/>
      </w:pPr>
      <w:r>
        <w:rPr>
          <w:rFonts w:ascii="Times New Roman;Times;serif" w:hAnsi="Times New Roman;Times;serif"/>
          <w:sz w:val="20"/>
        </w:rPr>
        <w:t xml:space="preserve">In </w:t>
      </w:r>
      <w:r>
        <w:rPr>
          <w:rStyle w:val="Emphasis"/>
          <w:rFonts w:ascii="Times New Roman;Times;serif" w:hAnsi="Times New Roman;Times;serif"/>
          <w:sz w:val="20"/>
        </w:rPr>
        <w:t xml:space="preserve">July 2024, </w:t>
      </w:r>
      <w:r>
        <w:rPr>
          <w:rFonts w:ascii="Times New Roman;Times;serif" w:hAnsi="Times New Roman;Times;serif"/>
          <w:sz w:val="20"/>
        </w:rPr>
        <w:t xml:space="preserve">the Company extinguished the $530,000 balance then outstanding under the Original Term Loan B Facility and replaced it with a new $500,000 Tranche B Term Loan Facility maturing on </w:t>
      </w:r>
      <w:r>
        <w:rPr>
          <w:rStyle w:val="Emphasis"/>
          <w:rFonts w:ascii="Times New Roman;Times;serif" w:hAnsi="Times New Roman;Times;serif"/>
          <w:sz w:val="20"/>
        </w:rPr>
        <w:t>July 3, 2031 (</w:t>
      </w:r>
      <w:r>
        <w:rPr>
          <w:rFonts w:ascii="Times New Roman;Times;serif" w:hAnsi="Times New Roman;Times;serif"/>
          <w:sz w:val="20"/>
        </w:rPr>
        <w:t xml:space="preserve">New Term Loan B Facility and, together with the Original Term Loan B Facility, the Term Loan B Facility). The New Term Loan B Facility continues to include a $300,000 uncommitted incremental term loan on that facility. In accordance with ASC </w:t>
      </w:r>
      <w:r>
        <w:rPr>
          <w:rStyle w:val="Emphasis"/>
          <w:rFonts w:ascii="Times New Roman;Times;serif" w:hAnsi="Times New Roman;Times;serif"/>
          <w:sz w:val="20"/>
        </w:rPr>
        <w:t>470</w:t>
      </w:r>
      <w:r>
        <w:rPr>
          <w:rFonts w:ascii="Times New Roman;Times;serif" w:hAnsi="Times New Roman;Times;serif"/>
          <w:sz w:val="20"/>
        </w:rPr>
        <w:t>-</w:t>
      </w:r>
      <w:r>
        <w:rPr>
          <w:rStyle w:val="Emphasis"/>
          <w:rFonts w:ascii="Times New Roman;Times;serif" w:hAnsi="Times New Roman;Times;serif"/>
          <w:sz w:val="20"/>
        </w:rPr>
        <w:t>50,</w:t>
      </w:r>
      <w:r>
        <w:rPr>
          <w:rFonts w:ascii="Times New Roman;Times;serif" w:hAnsi="Times New Roman;Times;serif"/>
          <w:sz w:val="20"/>
        </w:rPr>
        <w:t xml:space="preserve"> the Company capitalized $2,991 of debt issuance costs related to this transaction. Additionally, the Company wrote-off the unamortized deferred financing costs related to the Original Term Loan B of $4,236 and expensed $625 of fees paid to creditors as a loss on refinancing of debt. The New Term Loan B Facility bears interest at the SOFR rate plus an applicable margin of </w:t>
      </w:r>
      <w:r>
        <w:rPr>
          <w:rFonts w:ascii="Times New Roman;Times;serif" w:hAnsi="Times New Roman;Times;serif"/>
          <w:color w:val="000000"/>
          <w:sz w:val="20"/>
        </w:rPr>
        <w:t xml:space="preserve">1.75%, subject to a SOFR floor of </w:t>
      </w:r>
      <w:r>
        <w:rPr>
          <w:rFonts w:ascii="Times New Roman;Times;serif" w:hAnsi="Times New Roman;Times;serif"/>
          <w:color w:val="000000"/>
          <w:sz w:val="20"/>
          <w:shd w:fill="FFFFFF" w:val="clear"/>
        </w:rPr>
        <w:t xml:space="preserve">0.0%, resulting in a 5.37% combined rate as of </w:t>
      </w:r>
      <w:r>
        <w:rPr>
          <w:rStyle w:val="Emphasis"/>
          <w:rFonts w:ascii="Times New Roman;Times;serif" w:hAnsi="Times New Roman;Times;serif"/>
          <w:color w:val="000000"/>
          <w:sz w:val="20"/>
          <w:shd w:fill="FFFFFF" w:val="clear"/>
        </w:rPr>
        <w:t>June 30,</w:t>
      </w:r>
      <w:r>
        <w:rPr>
          <w:rFonts w:ascii="Times New Roman;Times;serif" w:hAnsi="Times New Roman;Times;serif"/>
          <w:color w:val="000000"/>
          <w:sz w:val="20"/>
          <w:shd w:fill="FFFFFF" w:val="clear"/>
        </w:rPr>
        <w:t xml:space="preserve"> </w:t>
      </w:r>
      <w:r>
        <w:rPr>
          <w:rStyle w:val="Emphasis"/>
          <w:rFonts w:ascii="Times New Roman;Times;serif" w:hAnsi="Times New Roman;Times;serif"/>
          <w:color w:val="000000"/>
          <w:sz w:val="20"/>
          <w:shd w:fill="FFFFFF" w:val="clear"/>
        </w:rPr>
        <w:t>2026.</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New Term Loan B Facility does </w:t>
      </w:r>
      <w:r>
        <w:rPr>
          <w:rStyle w:val="Emphasis"/>
          <w:rFonts w:ascii="Times New Roman;Times;serif" w:hAnsi="Times New Roman;Times;serif"/>
          <w:sz w:val="20"/>
        </w:rPr>
        <w:t>not</w:t>
      </w:r>
      <w:r>
        <w:rPr>
          <w:rFonts w:ascii="Times New Roman;Times;serif" w:hAnsi="Times New Roman;Times;serif"/>
          <w:sz w:val="20"/>
        </w:rPr>
        <w:t xml:space="preserve"> require an Excess Cash Flow payment (as defined in the New Term Loan B Facility credit agreement) if the Company’s net secured leverage ratio is maintained below 3.75 to </w:t>
      </w:r>
      <w:r>
        <w:rPr>
          <w:rStyle w:val="Emphasis"/>
          <w:rFonts w:ascii="Times New Roman;Times;serif" w:hAnsi="Times New Roman;Times;serif"/>
          <w:sz w:val="20"/>
        </w:rPr>
        <w:t>1.00.</w:t>
      </w:r>
      <w:r>
        <w:rPr>
          <w:rFonts w:ascii="Times New Roman;Times;serif" w:hAnsi="Times New Roman;Times;serif"/>
          <w:sz w:val="20"/>
        </w:rPr>
        <w:t xml:space="preserve"> As of </w:t>
      </w:r>
      <w:r>
        <w:rPr>
          <w:rStyle w:val="Emphasis"/>
          <w:rFonts w:ascii="Times New Roman;Times;serif" w:hAnsi="Times New Roman;Times;serif"/>
          <w:sz w:val="20"/>
        </w:rPr>
        <w:t>June 30, 2026, </w:t>
      </w:r>
      <w:r>
        <w:rPr>
          <w:rFonts w:ascii="Times New Roman;Times;serif" w:hAnsi="Times New Roman;Times;serif"/>
          <w:sz w:val="20"/>
        </w:rPr>
        <w:t>the Company’s net secured leverag</w:t>
      </w:r>
      <w:r>
        <w:rPr>
          <w:rFonts w:ascii="Times New Roman;Times;serif" w:hAnsi="Times New Roman;Times;serif"/>
          <w:color w:val="000000"/>
          <w:sz w:val="20"/>
        </w:rPr>
        <w:t>e ratio was 1.15</w:t>
      </w:r>
      <w:r>
        <w:rPr>
          <w:rFonts w:ascii="Times New Roman;Times;serif" w:hAnsi="Times New Roman;Times;serif"/>
          <w:color w:val="FF0000"/>
          <w:sz w:val="20"/>
        </w:rPr>
        <w:t> </w:t>
      </w:r>
      <w:r>
        <w:rPr>
          <w:rFonts w:ascii="Times New Roman;Times;serif" w:hAnsi="Times New Roman;Times;serif"/>
          <w:color w:val="000000"/>
          <w:sz w:val="20"/>
        </w:rPr>
        <w:t xml:space="preserve">to </w:t>
      </w:r>
      <w:r>
        <w:rPr>
          <w:rStyle w:val="Emphasis"/>
          <w:rFonts w:ascii="Times New Roman;Times;serif" w:hAnsi="Times New Roman;Times;serif"/>
          <w:color w:val="000000"/>
          <w:sz w:val="20"/>
        </w:rPr>
        <w:t>1.00</w:t>
      </w:r>
      <w:r>
        <w:rPr>
          <w:rFonts w:ascii="Times New Roman;Times;serif" w:hAnsi="Times New Roman;Times;serif"/>
          <w:sz w:val="20"/>
        </w:rPr>
        <w:t>, and the Company was in compliance with all covenants under the facility. T</w:t>
      </w:r>
      <w:r>
        <w:rPr>
          <w:rFonts w:ascii="Times New Roman;Times;serif" w:hAnsi="Times New Roman;Times;serif"/>
          <w:sz w:val="20"/>
          <w:shd w:fill="FFFFFF" w:val="clear"/>
        </w:rPr>
        <w:t xml:space="preserve">here are </w:t>
      </w:r>
      <w:r>
        <w:rPr>
          <w:rStyle w:val="Emphasis"/>
          <w:rFonts w:ascii="Times New Roman;Times;serif" w:hAnsi="Times New Roman;Times;serif"/>
          <w:sz w:val="20"/>
          <w:shd w:fill="FFFFFF" w:val="clear"/>
        </w:rPr>
        <w:t>no</w:t>
      </w:r>
      <w:r>
        <w:rPr>
          <w:rFonts w:ascii="Times New Roman;Times;serif" w:hAnsi="Times New Roman;Times;serif"/>
          <w:sz w:val="20"/>
          <w:shd w:fill="FFFFFF" w:val="clear"/>
        </w:rPr>
        <w:t xml:space="preserve"> financial maintenance covenants on the New Term Loan B Facility.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original Tranche A Term Loan Facility provided an aggregate principal amount of $750,000 (Original Tranche A Term Loan Facility), along with a $1,250,000 revolving facility (Original Revolving Facility), with all LIBOR provisions replaced with SOFR provisions. The Original Tranche A Term Loan Facility and the Original Revolving Facility bore interest at a rate based on adjusted SOFR plus an applicable margin between 1.25% and 1.75%, depending on the Company's total leverage ratio and subject to a SOFR floor of 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July 1, 2025, </w:t>
      </w:r>
      <w:r>
        <w:rPr>
          <w:rFonts w:ascii="Times New Roman" w:hAnsi="Times New Roman"/>
          <w:caps w:val="false"/>
          <w:smallCaps w:val="false"/>
          <w:sz w:val="20"/>
        </w:rPr>
        <w:t>the Company amended the Original Tranche A Term Loan Facility and Original Revolving Facility (Prior Amended Credit Agreement), extending the maturity of both to </w:t>
      </w:r>
      <w:r>
        <w:rPr>
          <w:rStyle w:val="Emphasis"/>
          <w:rFonts w:ascii="Times New Roman" w:hAnsi="Times New Roman"/>
          <w:caps w:val="false"/>
          <w:smallCaps w:val="false"/>
          <w:sz w:val="20"/>
        </w:rPr>
        <w:t xml:space="preserve"> July 1, 2030, </w:t>
      </w:r>
      <w:r>
        <w:rPr>
          <w:rFonts w:ascii="Times New Roman" w:hAnsi="Times New Roman"/>
          <w:caps w:val="false"/>
          <w:smallCaps w:val="false"/>
          <w:sz w:val="20"/>
        </w:rPr>
        <w:t xml:space="preserve">revising the Original Tranche A Term Loan Facility outstanding principal balance to $700,000 (New Tranche A Term Loan Facility), reducing the Original Revolving Facility borrowing capacity to $1,000,000 (New Revolving Facility) (collectively the New Credit Agreements), and redefined the Term Benchmark (as defined in the Prior Amended Credit Agreement) to replace the Adjusted Term SOFR Rate (as defined in the Prior Amended Credit Agreement) with the Term SOFR Rate (as defined in the New Credit Agreement), resulting in an interest rate reduction of 0.10%. Except for redefining the Term Benchmark, interest rates for the New Credit Agreements remain unchanged from the original credit agreements. As of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the interest rate for the New Tranche A Term Loan Facility and the New Revolving Facilit</w:t>
      </w:r>
      <w:r>
        <w:rPr>
          <w:rFonts w:ascii="Times New Roman" w:hAnsi="Times New Roman"/>
          <w:caps w:val="false"/>
          <w:smallCaps w:val="false"/>
          <w:sz w:val="20"/>
          <w:shd w:fill="FFFFFF" w:val="clear"/>
        </w:rPr>
        <w:t>y is 4.87%</w:t>
      </w:r>
      <w:r>
        <w:rPr>
          <w:rFonts w:ascii="Times New Roman" w:hAnsi="Times New Roman"/>
          <w:caps w:val="false"/>
          <w:smallCaps w:val="false"/>
          <w:sz w:val="20"/>
        </w:rPr>
        <w:t>. In accordance with AS</w:t>
      </w:r>
      <w:r>
        <w:rPr>
          <w:rFonts w:ascii="Times New Roman" w:hAnsi="Times New Roman"/>
          <w:caps w:val="false"/>
          <w:smallCaps w:val="false"/>
          <w:sz w:val="20"/>
          <w:shd w:fill="FFFFFF" w:val="clear"/>
        </w:rPr>
        <w:t xml:space="preserve">C </w:t>
      </w:r>
      <w:r>
        <w:rPr>
          <w:rStyle w:val="Emphasis"/>
          <w:rFonts w:ascii="Times New Roman" w:hAnsi="Times New Roman"/>
          <w:caps w:val="false"/>
          <w:smallCaps w:val="false"/>
          <w:sz w:val="20"/>
          <w:shd w:fill="FFFFFF" w:val="clear"/>
        </w:rPr>
        <w:t>470</w:t>
      </w:r>
      <w:r>
        <w:rPr>
          <w:rFonts w:ascii="Times New Roman" w:hAnsi="Times New Roman"/>
          <w:caps w:val="false"/>
          <w:smallCaps w:val="false"/>
          <w:sz w:val="20"/>
          <w:shd w:fill="FFFFFF" w:val="clear"/>
        </w:rPr>
        <w:t>-</w:t>
      </w:r>
      <w:r>
        <w:rPr>
          <w:rStyle w:val="Emphasis"/>
          <w:rFonts w:ascii="Times New Roman" w:hAnsi="Times New Roman"/>
          <w:caps w:val="false"/>
          <w:smallCaps w:val="false"/>
          <w:sz w:val="20"/>
          <w:shd w:fill="FFFFFF" w:val="clear"/>
        </w:rPr>
        <w:t>50,</w:t>
      </w:r>
      <w:r>
        <w:rPr>
          <w:rFonts w:ascii="Times New Roman" w:hAnsi="Times New Roman"/>
          <w:caps w:val="false"/>
          <w:smallCaps w:val="false"/>
          <w:sz w:val="20"/>
          <w:shd w:fill="FFFFFF" w:val="clear"/>
        </w:rPr>
        <w:t xml:space="preserve"> the Company capitalized $5,275 of debt issuance costs related to this transaction. Additionally, the Company wrote-off certain unamortized deferred financing costs related to the Original Revolving Facility of $443 and expensed $782 of </w:t>
      </w:r>
      <w:r>
        <w:rPr>
          <w:rStyle w:val="Emphasis"/>
          <w:rFonts w:ascii="Times New Roman" w:hAnsi="Times New Roman"/>
          <w:caps w:val="false"/>
          <w:smallCaps w:val="false"/>
          <w:sz w:val="20"/>
          <w:shd w:fill="FFFFFF" w:val="clear"/>
        </w:rPr>
        <w:t>third</w:t>
      </w:r>
      <w:r>
        <w:rPr>
          <w:rFonts w:ascii="Times New Roman" w:hAnsi="Times New Roman"/>
          <w:caps w:val="false"/>
          <w:smallCaps w:val="false"/>
          <w:sz w:val="20"/>
          <w:shd w:fill="FFFFFF" w:val="clear"/>
        </w:rPr>
        <w:t>-party fees as a loss on refinancing of debt</w:t>
      </w:r>
      <w:r>
        <w:rPr>
          <w:rFonts w:ascii="Times New Roman" w:hAnsi="Times New Roman"/>
          <w:caps w:val="false"/>
          <w:smallCaps w:val="false"/>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Both the New Tranche A Term Loan Facility and the New Revolving Facility contain certain financial covenants that require the Company to maintain a total leverage ratio below 3.75 to </w:t>
      </w:r>
      <w:r>
        <w:rPr>
          <w:rStyle w:val="Emphasis"/>
          <w:rFonts w:ascii="Times New Roman;Times;serif" w:hAnsi="Times New Roman;Times;serif"/>
          <w:sz w:val="20"/>
        </w:rPr>
        <w:t>1.00,</w:t>
      </w:r>
      <w:r>
        <w:rPr>
          <w:rFonts w:ascii="Times New Roman;Times;serif" w:hAnsi="Times New Roman;Times;serif"/>
          <w:sz w:val="20"/>
        </w:rPr>
        <w:t> as well as an interest coverage ratio above 3.00 to </w:t>
      </w:r>
      <w:r>
        <w:rPr>
          <w:rStyle w:val="Emphasis"/>
          <w:rFonts w:ascii="Times New Roman;Times;serif" w:hAnsi="Times New Roman;Times;serif"/>
          <w:sz w:val="20"/>
        </w:rPr>
        <w:t>1.00.</w:t>
      </w:r>
      <w:r>
        <w:rPr>
          <w:rFonts w:ascii="Times New Roman;Times;serif" w:hAnsi="Times New Roman;Times;serif"/>
          <w:sz w:val="20"/>
        </w:rPr>
        <w:t xml:space="preserve"> As of </w:t>
      </w:r>
      <w:r>
        <w:rPr>
          <w:rStyle w:val="Emphasis"/>
          <w:rFonts w:ascii="Times New Roman;Times;serif" w:hAnsi="Times New Roman;Times;serif"/>
          <w:sz w:val="20"/>
        </w:rPr>
        <w:t>June 30,</w:t>
      </w:r>
      <w:r>
        <w:rPr>
          <w:rFonts w:ascii="Times New Roman;Times;serif" w:hAnsi="Times New Roman;Times;serif"/>
          <w:sz w:val="20"/>
        </w:rPr>
        <w:t xml:space="preserve"> </w:t>
      </w:r>
      <w:r>
        <w:rPr>
          <w:rStyle w:val="Emphasis"/>
          <w:rFonts w:ascii="Times New Roman;Times;serif" w:hAnsi="Times New Roman;Times;serif"/>
          <w:sz w:val="20"/>
        </w:rPr>
        <w:t>2026,</w:t>
      </w:r>
      <w:r>
        <w:rPr>
          <w:rFonts w:ascii="Times New Roman;Times;serif" w:hAnsi="Times New Roman;Times;serif"/>
          <w:sz w:val="20"/>
        </w:rPr>
        <w:t xml:space="preserve"> the Company’s total leverage ratio was 1.20 to </w:t>
      </w:r>
      <w:r>
        <w:rPr>
          <w:rStyle w:val="Emphasis"/>
          <w:rFonts w:ascii="Times New Roman;Times;serif" w:hAnsi="Times New Roman;Times;serif"/>
          <w:sz w:val="20"/>
        </w:rPr>
        <w:t>1.00</w:t>
      </w:r>
      <w:r>
        <w:rPr>
          <w:rFonts w:ascii="Times New Roman;Times;serif" w:hAnsi="Times New Roman;Times;serif"/>
          <w:i/>
          <w:sz w:val="20"/>
        </w:rPr>
        <w:t>,</w:t>
      </w:r>
      <w:r>
        <w:rPr>
          <w:rFonts w:ascii="Times New Roman;Times;serif" w:hAnsi="Times New Roman;Times;serif"/>
          <w:sz w:val="20"/>
        </w:rPr>
        <w:t> and the Company's interest coverage ratio was 15.72 to </w:t>
      </w:r>
      <w:r>
        <w:rPr>
          <w:rStyle w:val="Emphasis"/>
          <w:rFonts w:ascii="Times New Roman;Times;serif" w:hAnsi="Times New Roman;Times;serif"/>
          <w:sz w:val="20"/>
        </w:rPr>
        <w:t>1.00</w:t>
      </w:r>
      <w:r>
        <w:rPr>
          <w:rFonts w:ascii="Times New Roman;Times;serif" w:hAnsi="Times New Roman;Times;serif"/>
          <w:i/>
          <w:sz w:val="20"/>
        </w:rPr>
        <w:t>.</w:t>
      </w:r>
      <w:r>
        <w:rPr>
          <w:rFonts w:ascii="Times New Roman;Times;serif" w:hAnsi="Times New Roman;Times;serif"/>
          <w:sz w:val="20"/>
        </w:rPr>
        <w:t xml:space="preserve"> The Company was also in compliance with all other covenants of the New Credit Agreements as of </w:t>
      </w:r>
      <w:r>
        <w:rPr>
          <w:rStyle w:val="Emphasis"/>
          <w:rFonts w:ascii="Times New Roman;Times;serif" w:hAnsi="Times New Roman;Times;serif"/>
          <w:sz w:val="20"/>
        </w:rPr>
        <w:t>June 30,</w:t>
      </w:r>
      <w:r>
        <w:rPr>
          <w:rFonts w:ascii="Times New Roman;Times;serif" w:hAnsi="Times New Roman;Times;serif"/>
          <w:sz w:val="20"/>
        </w:rPr>
        <w:t xml:space="preserve"> </w:t>
      </w:r>
      <w:r>
        <w:rPr>
          <w:rStyle w:val="Emphasis"/>
          <w:rFonts w:ascii="Times New Roman;Times;serif" w:hAnsi="Times New Roman;Times;serif"/>
          <w:sz w:val="20"/>
        </w:rPr>
        <w:t>2026.</w:t>
      </w:r>
      <w:r>
        <w:rPr>
          <w:rFonts w:ascii="Times New Roman;Times;serif" w:hAnsi="Times New Roman;Times;serif"/>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New Term Loan B Facility, New Tranche A Term Loan Facility and New Revolving Facility are guaranteed by substantially all of the Company’s wholly-owned domestic restricted subsidiaries and are secured by associated collateral agreements which pledge a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priority lien on virtually all of the Company’s assets, including fixed assets and intangibles, cash, trade accounts receivable, inventory, and other current assets and proceeds thereof.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color w:val="000000"/>
          <w:sz w:val="20"/>
          <w:shd w:fill="FFFFFF" w:val="clear"/>
        </w:rPr>
        <w:t xml:space="preserve">As of </w:t>
      </w:r>
      <w:r>
        <w:rPr>
          <w:rStyle w:val="Emphasis"/>
          <w:rFonts w:ascii="Times New Roman" w:hAnsi="Times New Roman"/>
          <w:caps w:val="false"/>
          <w:smallCaps w:val="false"/>
          <w:color w:val="000000"/>
          <w:sz w:val="20"/>
          <w:shd w:fill="FFFFFF" w:val="clear"/>
        </w:rPr>
        <w:t>June 30,</w:t>
      </w:r>
      <w:r>
        <w:rPr>
          <w:rFonts w:ascii="Times New Roman" w:hAnsi="Times New Roman"/>
          <w:caps w:val="false"/>
          <w:smallCaps w:val="false"/>
          <w:color w:val="000000"/>
          <w:sz w:val="20"/>
          <w:shd w:fill="FFFFFF" w:val="clear"/>
        </w:rPr>
        <w:t xml:space="preserve"> </w:t>
      </w:r>
      <w:r>
        <w:rPr>
          <w:rStyle w:val="Emphasis"/>
          <w:rFonts w:ascii="Times New Roman" w:hAnsi="Times New Roman"/>
          <w:caps w:val="false"/>
          <w:smallCaps w:val="false"/>
          <w:color w:val="000000"/>
          <w:sz w:val="20"/>
          <w:shd w:fill="FFFFFF" w:val="clear"/>
        </w:rPr>
        <w:t>2026,</w:t>
      </w:r>
      <w:r>
        <w:rPr>
          <w:rFonts w:ascii="Times New Roman" w:hAnsi="Times New Roman"/>
          <w:caps w:val="false"/>
          <w:smallCaps w:val="false"/>
          <w:color w:val="000000"/>
          <w:sz w:val="20"/>
          <w:shd w:fill="FFFFFF" w:val="clear"/>
        </w:rPr>
        <w:t xml:space="preserve"> there were no amounts outstanding under the New Revolving Facility, leaving $999,250 of unused capa</w:t>
      </w:r>
      <w:r>
        <w:rPr>
          <w:rFonts w:ascii="Times New Roman" w:hAnsi="Times New Roman"/>
          <w:caps w:val="false"/>
          <w:smallCaps w:val="false"/>
          <w:sz w:val="20"/>
        </w:rPr>
        <w:t>city, net of outstanding letters of credit.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See Item </w:t>
      </w:r>
      <w:r>
        <w:rPr>
          <w:rStyle w:val="Emphasis"/>
          <w:rFonts w:ascii="Times New Roman" w:hAnsi="Times New Roman"/>
          <w:caps w:val="false"/>
          <w:smallCaps w:val="false"/>
          <w:sz w:val="20"/>
        </w:rPr>
        <w:t>7A</w:t>
      </w:r>
      <w:r>
        <w:rPr>
          <w:rFonts w:ascii="Times New Roman" w:hAnsi="Times New Roman"/>
          <w:caps w:val="false"/>
          <w:smallCaps w:val="false"/>
          <w:sz w:val="20"/>
        </w:rPr>
        <w:t xml:space="preserve"> of the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for the year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for further information on interest rate swaps that are currently outstanding that partially offset the interest expense associated with the above outstanding borrowings.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sz w:val="20"/>
        </w:rPr>
        <w:t xml:space="preserve">Also see Item </w:t>
      </w:r>
      <w:r>
        <w:rPr>
          <w:rStyle w:val="Emphasis"/>
          <w:rFonts w:ascii="Times New Roman;Times;serif" w:hAnsi="Times New Roman;Times;serif"/>
          <w:sz w:val="20"/>
        </w:rPr>
        <w:t>8</w:t>
      </w:r>
      <w:r>
        <w:rPr>
          <w:rFonts w:ascii="Times New Roman;Times;serif" w:hAnsi="Times New Roman;Times;serif"/>
          <w:sz w:val="20"/>
        </w:rPr>
        <w:t xml:space="preserve"> of the Annual Report on Form </w:t>
      </w:r>
      <w:r>
        <w:rPr>
          <w:rStyle w:val="Emphasis"/>
          <w:rFonts w:ascii="Times New Roman;Times;serif" w:hAnsi="Times New Roman;Times;serif"/>
          <w:sz w:val="20"/>
        </w:rPr>
        <w:t>10</w:t>
      </w:r>
      <w:r>
        <w:rPr>
          <w:rFonts w:ascii="Times New Roman;Times;serif" w:hAnsi="Times New Roman;Times;serif"/>
          <w:sz w:val="20"/>
        </w:rPr>
        <w:t xml:space="preserve">-K for the year ended </w:t>
      </w:r>
      <w:r>
        <w:rPr>
          <w:rStyle w:val="Emphasis"/>
          <w:rFonts w:ascii="Times New Roman;Times;serif" w:hAnsi="Times New Roman;Times;serif"/>
          <w:sz w:val="20"/>
        </w:rPr>
        <w:t>December 31, 2025, </w:t>
      </w:r>
      <w:r>
        <w:rPr>
          <w:rFonts w:ascii="Times New Roman;Times;serif" w:hAnsi="Times New Roman;Times;serif"/>
          <w:sz w:val="20"/>
        </w:rPr>
        <w:t>for further information on finance lease obligations.</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13</w:t>
      </w:r>
      <w:r>
        <w:rPr>
          <w:rFonts w:ascii="Times New Roman;Times;serif" w:hAnsi="Times New Roman;Times;serif"/>
          <w:b/>
          <w:sz w:val="20"/>
        </w:rPr>
        <w:t>.   Stock Repurchase</w:t>
      </w:r>
      <w:r>
        <w:rPr>
          <w:rFonts w:ascii="Times New Roman;Times;serif" w:hAnsi="Times New Roman;Times;serif"/>
          <w:sz w:val="20"/>
        </w:rPr>
        <w:t xml:space="preserve"> </w:t>
      </w:r>
      <w:r>
        <w:rPr>
          <w:rFonts w:ascii="Times New Roman;Times;serif" w:hAnsi="Times New Roman;Times;serif"/>
          <w:b/>
          <w:sz w:val="20"/>
        </w:rPr>
        <w:t>Program</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12, 2024, </w:t>
      </w:r>
      <w:r>
        <w:rPr>
          <w:rFonts w:ascii="Times New Roman" w:hAnsi="Times New Roman"/>
          <w:caps w:val="false"/>
          <w:smallCaps w:val="false"/>
          <w:sz w:val="20"/>
        </w:rPr>
        <w:t xml:space="preserve">the Company's Board of Directors approved a stock repurchase program that allowed for the repurchase of up to $500,000 of the Company's common stock over a 24-month period. Additionally, on </w:t>
      </w:r>
      <w:r>
        <w:rPr>
          <w:rStyle w:val="Emphasis"/>
          <w:rFonts w:ascii="Times New Roman" w:hAnsi="Times New Roman"/>
          <w:caps w:val="false"/>
          <w:smallCaps w:val="false"/>
          <w:sz w:val="20"/>
        </w:rPr>
        <w:t xml:space="preserve">February 9, 2026, </w:t>
      </w:r>
      <w:r>
        <w:rPr>
          <w:rFonts w:ascii="Times New Roman" w:hAnsi="Times New Roman"/>
          <w:caps w:val="false"/>
          <w:smallCaps w:val="false"/>
          <w:sz w:val="20"/>
        </w:rPr>
        <w:t xml:space="preserve">the Company’s Board of Directors approved a new stock repurchase program that allows for the repurchase of up to $500,000 of the Company’s common stock over the following 24 months. The new program replaces the prior share repurchase program, which had $199,340 remaining available for repurchase when the new program was approved. Pursuant to the approved program,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repurchase its common stock from time to time, in amounts and at prices the Company deems appropriate, subject to market conditions and other considerations. The repurchases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executed using a combination of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plans, open market purchases, privately negotiated agreements or other transactions. The actual timing, number and value of shares repurchased under the program will be determined by management at its discretion and in compliance with the terms of the Company's credit agreements. The repurchases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funded with cash on hand, available borrowings, or proceeds from potential debt or other capital markets sources. The stock repurchase program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suspended or discontinued at any time without prior notice.</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 </w:t>
      </w:r>
      <w:r>
        <w:rPr>
          <w:rFonts w:ascii="Times New Roman" w:hAnsi="Times New Roman"/>
          <w:caps w:val="false"/>
          <w:smallCaps w:val="false"/>
          <w:sz w:val="20"/>
        </w:rPr>
        <w:t xml:space="preserve">there were no share repurchases under the program.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the Company repurchased 392,521 and 1,109,206 shares of common stock for $50,463 and $147,917, respectively. The Company has periodically reissued shares out of Treasury stock, including for acquisition contingent consideration payments.</w:t>
      </w:r>
    </w:p>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14.</w:t>
      </w:r>
      <w:r>
        <w:rPr>
          <w:rFonts w:ascii="Times New Roman;Times;serif" w:hAnsi="Times New Roman;Times;serif"/>
          <w:b/>
          <w:sz w:val="20"/>
        </w:rPr>
        <w:t xml:space="preserve"> Earnings Per</w:t>
      </w:r>
      <w:r>
        <w:rPr>
          <w:rFonts w:ascii="Times New Roman;Times;serif" w:hAnsi="Times New Roman;Times;serif"/>
          <w:sz w:val="20"/>
        </w:rPr>
        <w:t xml:space="preserve"> </w:t>
      </w:r>
      <w:r>
        <w:rPr>
          <w:rFonts w:ascii="Times New Roman;Times;serif" w:hAnsi="Times New Roman;Times;serif"/>
          <w:b/>
          <w:sz w:val="20"/>
        </w:rPr>
        <w:t>Share</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Basic earnings per share is calculated by dividing net income attributable to the common shareholders of the Company by the weighted average number of common shares outstanding during the period, exclusive of restricted shares. Except where the result would be anti-dilutive, diluted earnings per share is calculated by assuming the vesting of unvested "in the money" restricted stock and the exercise of outstanding "in the money" stock options, as well as the satisfaction of certain acquisition contingent consideration conditions as of the end of the period. Refer to Note </w:t>
      </w:r>
      <w:r>
        <w:rPr>
          <w:rStyle w:val="Emphasis"/>
          <w:rFonts w:ascii="Times New Roman;Times;serif" w:hAnsi="Times New Roman;Times;serif"/>
          <w:sz w:val="20"/>
        </w:rPr>
        <w:t>4,</w:t>
      </w:r>
      <w:r>
        <w:rPr>
          <w:rFonts w:ascii="Times New Roman;Times;serif" w:hAnsi="Times New Roman;Times;serif"/>
          <w:sz w:val="20"/>
        </w:rPr>
        <w:t xml:space="preserve"> “Redeemable Noncontrolling Interests,” of the Annual Report on Form </w:t>
      </w:r>
      <w:r>
        <w:rPr>
          <w:rStyle w:val="Emphasis"/>
          <w:rFonts w:ascii="Times New Roman;Times;serif" w:hAnsi="Times New Roman;Times;serif"/>
          <w:sz w:val="20"/>
        </w:rPr>
        <w:t>10</w:t>
      </w:r>
      <w:r>
        <w:rPr>
          <w:rFonts w:ascii="Times New Roman;Times;serif" w:hAnsi="Times New Roman;Times;serif"/>
          <w:sz w:val="20"/>
        </w:rPr>
        <w:t xml:space="preserve">-K for the year ended </w:t>
      </w:r>
      <w:r>
        <w:rPr>
          <w:rStyle w:val="Emphasis"/>
          <w:rFonts w:ascii="Times New Roman;Times;serif" w:hAnsi="Times New Roman;Times;serif"/>
          <w:sz w:val="20"/>
        </w:rPr>
        <w:t>December 31, 2025</w:t>
      </w:r>
      <w:r>
        <w:rPr>
          <w:rFonts w:ascii="Times New Roman;Times;serif" w:hAnsi="Times New Roman;Times;serif"/>
          <w:sz w:val="20"/>
        </w:rPr>
        <w:t>, for further information regarding the accounting for redeemable noncontrolling interests within earnings per share.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reconciles the numerator and the denominator used to calculate basic and diluted earnings per share:</w:t>
      </w:r>
    </w:p>
    <w:p>
      <w:pPr>
        <w:pStyle w:val="TextBody"/>
        <w:bidi w:val="0"/>
        <w:spacing w:before="0" w:after="0"/>
        <w:ind w:left="0" w:right="0" w:hanging="0"/>
        <w:jc w:val="both"/>
        <w:rPr/>
      </w:pPr>
      <w:r>
        <w:rPr/>
        <w:t> </w:t>
      </w:r>
    </w:p>
    <w:tbl>
      <w:tblPr>
        <w:tblW w:w="9774" w:type="dxa"/>
        <w:jc w:val="left"/>
        <w:tblInd w:w="0" w:type="dxa"/>
        <w:tblLayout w:type="fixed"/>
        <w:tblCellMar>
          <w:top w:w="0" w:type="dxa"/>
          <w:left w:w="0" w:type="dxa"/>
          <w:bottom w:w="0" w:type="dxa"/>
          <w:right w:w="0" w:type="dxa"/>
        </w:tblCellMar>
      </w:tblPr>
      <w:tblGrid>
        <w:gridCol w:w="4730"/>
        <w:gridCol w:w="60"/>
        <w:gridCol w:w="138"/>
        <w:gridCol w:w="1050"/>
        <w:gridCol w:w="66"/>
        <w:gridCol w:w="66"/>
        <w:gridCol w:w="138"/>
        <w:gridCol w:w="1050"/>
        <w:gridCol w:w="60"/>
        <w:gridCol w:w="60"/>
        <w:gridCol w:w="126"/>
        <w:gridCol w:w="962"/>
        <w:gridCol w:w="60"/>
        <w:gridCol w:w="60"/>
        <w:gridCol w:w="126"/>
        <w:gridCol w:w="962"/>
        <w:gridCol w:w="60"/>
      </w:tblGrid>
      <w:tr>
        <w:trPr/>
        <w:tc>
          <w:tcPr>
            <w:tcW w:w="47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1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Numerator</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attributable to Generac Holdings Inc.</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143,244</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216,497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117,856</w:t>
            </w:r>
          </w:p>
        </w:tc>
        <w:tc>
          <w:tcPr>
            <w:tcW w:w="6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attributable to common shareholders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143,244</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216,497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117,856</w:t>
            </w:r>
          </w:p>
        </w:tc>
        <w:tc>
          <w:tcPr>
            <w:tcW w:w="6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Denominator</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basic</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58,822,634</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58,496,998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58,615,919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58,771,818</w:t>
            </w:r>
          </w:p>
        </w:tc>
        <w:tc>
          <w:tcPr>
            <w:tcW w:w="6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Dilutive effect of stock compensation awards (1)</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812,813</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520,825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820,460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614,089</w:t>
            </w:r>
          </w:p>
        </w:tc>
        <w:tc>
          <w:tcPr>
            <w:tcW w:w="6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diluted</w:t>
            </w:r>
          </w:p>
        </w:tc>
        <w:tc>
          <w:tcPr>
            <w:tcW w:w="60" w:type="dxa"/>
            <w:tcBorders/>
            <w:shd w:fill="FFFFFF" w:val="clear"/>
            <w:vAlign w:val="center"/>
          </w:tcPr>
          <w:p>
            <w:pPr>
              <w:pStyle w:val="TableContents"/>
              <w:bidi w:val="0"/>
              <w:spacing w:before="0" w:after="283"/>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59,635,447</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59,017,823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59,436,379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59,385,907</w:t>
            </w:r>
          </w:p>
        </w:tc>
        <w:tc>
          <w:tcPr>
            <w:tcW w:w="6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attributable to common shareholders per share</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w:t>
            </w:r>
          </w:p>
        </w:tc>
        <w:tc>
          <w:tcPr>
            <w:tcW w:w="6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color w:val="000000"/>
          <w:sz w:val="20"/>
        </w:rPr>
        <w:t>(</w:t>
      </w:r>
      <w:r>
        <w:rPr>
          <w:rStyle w:val="Emphasis"/>
          <w:rFonts w:ascii="Times New Roman;Times;serif" w:hAnsi="Times New Roman;Times;serif"/>
          <w:color w:val="000000"/>
          <w:sz w:val="20"/>
        </w:rPr>
        <w:t>1</w:t>
      </w:r>
      <w:r>
        <w:rPr>
          <w:rFonts w:ascii="Times New Roman;Times;serif" w:hAnsi="Times New Roman;Times;serif"/>
          <w:color w:val="000000"/>
          <w:sz w:val="20"/>
        </w:rPr>
        <w:t>) Excludes approximately 124,000 and 123,000 stock options and restricted stock awards for the </w:t>
      </w:r>
      <w:r>
        <w:rPr>
          <w:rStyle w:val="Emphasis"/>
          <w:rFonts w:ascii="Times New Roman;Times;serif" w:hAnsi="Times New Roman;Times;serif"/>
          <w:color w:val="000000"/>
          <w:sz w:val="20"/>
        </w:rPr>
        <w:t>three</w:t>
      </w:r>
      <w:r>
        <w:rPr>
          <w:rFonts w:ascii="Times New Roman;Times;serif" w:hAnsi="Times New Roman;Times;serif"/>
          <w:color w:val="000000"/>
          <w:sz w:val="20"/>
        </w:rPr>
        <w:t xml:space="preserve"> and </w:t>
      </w:r>
      <w:r>
        <w:rPr>
          <w:rStyle w:val="Emphasis"/>
          <w:rFonts w:ascii="Times New Roman;Times;serif" w:hAnsi="Times New Roman;Times;serif"/>
          <w:color w:val="000000"/>
          <w:sz w:val="20"/>
        </w:rPr>
        <w:t>six</w:t>
      </w:r>
      <w:r>
        <w:rPr>
          <w:rFonts w:ascii="Times New Roman;Times;serif" w:hAnsi="Times New Roman;Times;serif"/>
          <w:color w:val="000000"/>
          <w:sz w:val="20"/>
        </w:rPr>
        <w:t xml:space="preserve"> months ended </w:t>
      </w:r>
      <w:r>
        <w:rPr>
          <w:rStyle w:val="Emphasis"/>
          <w:rFonts w:ascii="Times New Roman;Times;serif" w:hAnsi="Times New Roman;Times;serif"/>
          <w:color w:val="000000"/>
          <w:sz w:val="20"/>
        </w:rPr>
        <w:t>June 30,</w:t>
      </w:r>
      <w:r>
        <w:rPr>
          <w:rFonts w:ascii="Times New Roman;Times;serif" w:hAnsi="Times New Roman;Times;serif"/>
          <w:color w:val="000000"/>
          <w:sz w:val="20"/>
        </w:rPr>
        <w:t xml:space="preserve"> </w:t>
      </w:r>
      <w:r>
        <w:rPr>
          <w:rStyle w:val="Emphasis"/>
          <w:rFonts w:ascii="Times New Roman;Times;serif" w:hAnsi="Times New Roman;Times;serif"/>
          <w:color w:val="000000"/>
          <w:sz w:val="20"/>
        </w:rPr>
        <w:t>2026,</w:t>
      </w:r>
      <w:r>
        <w:rPr>
          <w:rFonts w:ascii="Times New Roman;Times;serif" w:hAnsi="Times New Roman;Times;serif"/>
          <w:color w:val="000000"/>
          <w:sz w:val="20"/>
        </w:rPr>
        <w:t xml:space="preserve"> respectively, and 779,000 and 428,000 stock options and restricted stock awards for the </w:t>
      </w:r>
      <w:r>
        <w:rPr>
          <w:rStyle w:val="Emphasis"/>
          <w:rFonts w:ascii="Times New Roman;Times;serif" w:hAnsi="Times New Roman;Times;serif"/>
          <w:color w:val="000000"/>
          <w:sz w:val="20"/>
        </w:rPr>
        <w:t>three</w:t>
      </w:r>
      <w:r>
        <w:rPr>
          <w:rFonts w:ascii="Times New Roman;Times;serif" w:hAnsi="Times New Roman;Times;serif"/>
          <w:color w:val="000000"/>
          <w:sz w:val="20"/>
        </w:rPr>
        <w:t xml:space="preserve"> and </w:t>
      </w:r>
      <w:r>
        <w:rPr>
          <w:rStyle w:val="Emphasis"/>
          <w:rFonts w:ascii="Times New Roman;Times;serif" w:hAnsi="Times New Roman;Times;serif"/>
          <w:color w:val="000000"/>
          <w:sz w:val="20"/>
        </w:rPr>
        <w:t>six</w:t>
      </w:r>
      <w:r>
        <w:rPr>
          <w:rFonts w:ascii="Times New Roman;Times;serif" w:hAnsi="Times New Roman;Times;serif"/>
          <w:color w:val="000000"/>
          <w:sz w:val="20"/>
        </w:rPr>
        <w:t xml:space="preserve"> months ended </w:t>
      </w:r>
      <w:r>
        <w:rPr>
          <w:rStyle w:val="Emphasis"/>
          <w:rFonts w:ascii="Times New Roman;Times;serif" w:hAnsi="Times New Roman;Times;serif"/>
          <w:color w:val="000000"/>
          <w:sz w:val="20"/>
        </w:rPr>
        <w:t xml:space="preserve">June 30, 2025, </w:t>
      </w:r>
      <w:r>
        <w:rPr>
          <w:rFonts w:ascii="Times New Roman;Times;serif" w:hAnsi="Times New Roman;Times;serif"/>
          <w:color w:val="000000"/>
          <w:sz w:val="20"/>
        </w:rPr>
        <w:t>respectively, because they would be anti-dilutive.</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15</w:t>
      </w:r>
      <w:r>
        <w:rPr>
          <w:rFonts w:ascii="Times New Roman;Times;serif" w:hAnsi="Times New Roman;Times;serif"/>
          <w:b/>
          <w:sz w:val="20"/>
        </w:rPr>
        <w:t>. Income Taxes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effective income tax rates for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June 30,</w:t>
      </w:r>
      <w:r>
        <w:rPr>
          <w:rFonts w:ascii="Times New Roman;Times;serif" w:hAnsi="Times New Roman;Times;serif"/>
          <w:sz w:val="20"/>
        </w:rPr>
        <w:t xml:space="preserve"> </w:t>
      </w:r>
      <w:r>
        <w:rPr>
          <w:rStyle w:val="Emphasis"/>
          <w:rFonts w:ascii="Times New Roman;Times;serif" w:hAnsi="Times New Roman;Times;serif"/>
          <w:sz w:val="20"/>
        </w:rPr>
        <w:t>2026</w:t>
      </w:r>
      <w:r>
        <w:rPr>
          <w:rFonts w:ascii="Times New Roman;Times;serif" w:hAnsi="Times New Roman;Times;serif"/>
          <w:sz w:val="20"/>
        </w:rPr>
        <w:t xml:space="preserve"> and </w:t>
      </w:r>
      <w:r>
        <w:rPr>
          <w:rStyle w:val="Emphasis"/>
          <w:rFonts w:ascii="Times New Roman;Times;serif" w:hAnsi="Times New Roman;Times;serif"/>
          <w:sz w:val="20"/>
        </w:rPr>
        <w:t>2025</w:t>
      </w:r>
      <w:r>
        <w:rPr>
          <w:rFonts w:ascii="Times New Roman;Times;serif" w:hAnsi="Times New Roman;Times;serif"/>
          <w:sz w:val="20"/>
        </w:rPr>
        <w:t xml:space="preserve"> were 24.6% and 20.0%, respectively. The increase in effective tax rate was primarily related to a non-recurring favorable discrete item in the prior year period related to a business disposition that did </w:t>
      </w:r>
      <w:r>
        <w:rPr>
          <w:rStyle w:val="Emphasis"/>
          <w:rFonts w:ascii="Times New Roman;Times;serif" w:hAnsi="Times New Roman;Times;serif"/>
          <w:sz w:val="20"/>
        </w:rPr>
        <w:t>not</w:t>
      </w:r>
      <w:r>
        <w:rPr>
          <w:rFonts w:ascii="Times New Roman;Times;serif" w:hAnsi="Times New Roman;Times;serif"/>
          <w:sz w:val="20"/>
        </w:rPr>
        <w:t xml:space="preserve"> repeat in the current 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bookmarkStart w:id="8" w:name="comandcon"/>
      <w:bookmarkEnd w:id="8"/>
      <w:r>
        <w:rPr>
          <w:rStyle w:val="Emphasis"/>
          <w:rFonts w:ascii="Times New Roman;Times;serif" w:hAnsi="Times New Roman;Times;serif"/>
          <w:b/>
          <w:sz w:val="20"/>
        </w:rPr>
        <w:t>16</w:t>
      </w:r>
      <w:r>
        <w:rPr>
          <w:rFonts w:ascii="Times New Roman;Times;serif" w:hAnsi="Times New Roman;Times;serif"/>
          <w:b/>
          <w:sz w:val="20"/>
        </w:rPr>
        <w:t>. Commitments and</w:t>
      </w:r>
      <w:r>
        <w:rPr>
          <w:rFonts w:ascii="Times New Roman;Times;serif" w:hAnsi="Times New Roman;Times;serif"/>
          <w:sz w:val="20"/>
        </w:rPr>
        <w:t xml:space="preserve"> </w:t>
      </w:r>
      <w:r>
        <w:rPr>
          <w:rFonts w:ascii="Times New Roman;Times;serif" w:hAnsi="Times New Roman;Times;serif"/>
          <w:b/>
          <w:sz w:val="20"/>
        </w:rPr>
        <w:t>Contingencies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Company has an arrangement with a finance company to provide floor plan financing for certain dealers. The Company receives payment from the finance company after shipment of product to the dealer. The Company participates in the cost of dealer financing up to certain limits and has agreed to repurchase Generac products repossessed by the finance company, but does </w:t>
      </w:r>
      <w:r>
        <w:rPr>
          <w:rStyle w:val="Emphasis"/>
          <w:rFonts w:ascii="Times New Roman;Times;serif" w:hAnsi="Times New Roman;Times;serif"/>
          <w:sz w:val="20"/>
        </w:rPr>
        <w:t>not</w:t>
      </w:r>
      <w:r>
        <w:rPr>
          <w:rFonts w:ascii="Times New Roman;Times;serif" w:hAnsi="Times New Roman;Times;serif"/>
          <w:sz w:val="20"/>
        </w:rPr>
        <w:t xml:space="preserve"> indemnify the finance company for any credit losses they incur. The amount financed by dealers which remained outstanding under this arrangement as of </w:t>
      </w:r>
      <w:r>
        <w:rPr>
          <w:rStyle w:val="Emphasis"/>
          <w:rFonts w:ascii="Times New Roman;Times;serif" w:hAnsi="Times New Roman;Times;serif"/>
          <w:sz w:val="20"/>
        </w:rPr>
        <w:t xml:space="preserve">June 30, 2026, </w:t>
      </w:r>
      <w:r>
        <w:rPr>
          <w:rFonts w:ascii="Times New Roman;Times;serif" w:hAnsi="Times New Roman;Times;serif"/>
          <w:sz w:val="20"/>
        </w:rPr>
        <w:t xml:space="preserve">and </w:t>
      </w:r>
      <w:r>
        <w:rPr>
          <w:rStyle w:val="Emphasis"/>
          <w:rFonts w:ascii="Times New Roman;Times;serif" w:hAnsi="Times New Roman;Times;serif"/>
          <w:sz w:val="20"/>
        </w:rPr>
        <w:t xml:space="preserve">December 31, 2025, </w:t>
      </w:r>
      <w:r>
        <w:rPr>
          <w:rFonts w:ascii="Times New Roman;Times;serif" w:hAnsi="Times New Roman;Times;serif"/>
          <w:sz w:val="20"/>
        </w:rPr>
        <w:t>was </w:t>
      </w:r>
      <w:r>
        <w:rPr>
          <w:rFonts w:ascii="Times New Roman;Times;serif" w:hAnsi="Times New Roman;Times;serif"/>
          <w:color w:val="000000"/>
          <w:sz w:val="20"/>
        </w:rPr>
        <w:t>$179,174 and $</w:t>
      </w:r>
      <w:r>
        <w:rPr>
          <w:rFonts w:ascii="Times New Roman;Times;serif" w:hAnsi="Times New Roman;Times;serif"/>
          <w:color w:val="000000"/>
          <w:sz w:val="20"/>
          <w:shd w:fill="FFFFFF" w:val="clear"/>
        </w:rPr>
        <w:t>149,737,</w:t>
      </w:r>
      <w:r>
        <w:rPr>
          <w:rFonts w:ascii="Times New Roman;Times;serif" w:hAnsi="Times New Roman;Times;serif"/>
          <w:color w:val="000000"/>
          <w:sz w:val="20"/>
        </w:rPr>
        <w:t> r</w:t>
      </w:r>
      <w:r>
        <w:rPr>
          <w:rFonts w:ascii="Times New Roman;Times;serif" w:hAnsi="Times New Roman;Times;serif"/>
          <w:b/>
          <w:color w:val="000000"/>
          <w:sz w:val="20"/>
        </w:rPr>
        <w:t>e</w:t>
      </w:r>
      <w:r>
        <w:rPr>
          <w:rFonts w:ascii="Times New Roman;Times;serif" w:hAnsi="Times New Roman;Times;serif"/>
          <w:color w:val="000000"/>
          <w:sz w:val="20"/>
        </w:rPr>
        <w:t>spectively</w:t>
      </w:r>
      <w:r>
        <w:rPr>
          <w:rFonts w:ascii="Times New Roman;Times;serif" w:hAnsi="Times New Roman;Times;serif"/>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August 1, 2022, </w:t>
      </w:r>
      <w:r>
        <w:rPr>
          <w:rFonts w:ascii="Times New Roman" w:hAnsi="Times New Roman"/>
          <w:caps w:val="false"/>
          <w:smallCaps w:val="false"/>
          <w:sz w:val="20"/>
        </w:rPr>
        <w:t xml:space="preserve">Power Home Solar, LLC d/b/a Pink Energy (PHS) filed a lawsuit in the Western District of Virginia against Generac Power Systems, Inc., a wholly owned subsidiary of the Company (Generac Power). The complaint alleges breaches of warranty, product liability, and other causes of action against Generac Power relating to the sale and performance of certain clean energy equipment and seeks to recover damages, including consequential damages, that PHS allegedly incurred.  The Company disputes the allegations in the complaint, including that PHS can seek consequential damages or amounts greater than the $25,000 liability cap set forth in the agreement between the parties. Generac Power moved to dismiss the complaint and compel arbitration consistent with the parties’ agreement. PHS later filed a Chapter </w:t>
      </w:r>
      <w:r>
        <w:rPr>
          <w:rStyle w:val="Emphasis"/>
          <w:rFonts w:ascii="Times New Roman" w:hAnsi="Times New Roman"/>
          <w:caps w:val="false"/>
          <w:smallCaps w:val="false"/>
          <w:sz w:val="20"/>
        </w:rPr>
        <w:t>7</w:t>
      </w:r>
      <w:r>
        <w:rPr>
          <w:rFonts w:ascii="Times New Roman" w:hAnsi="Times New Roman"/>
          <w:caps w:val="false"/>
          <w:smallCaps w:val="false"/>
          <w:sz w:val="20"/>
        </w:rPr>
        <w:t xml:space="preserve"> bankruptcy petition in the Western District of North Carolina that identified Generac Power as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its outstanding creditors. The parties agreed to toll PHS’s deadline to respond to the motion to dismiss and all other pretrial deadlines to allow the bankruptcy trustee to evaluate the complaint. The Trustee decided to pursue PHS’s claims against Generac in arbitration. Generac Power intends to vigorously defend against the claims and contends that PHS cannot recover certain damages on behalf of its customers upon final approval of the settlement in the Multidistrict Litigation described below to the extent the claims relate to the performance of a certain solar system component. The arbitration hearing is expected to occur in </w:t>
      </w:r>
      <w:r>
        <w:rPr>
          <w:rStyle w:val="Emphasis"/>
          <w:rFonts w:ascii="Times New Roman" w:hAnsi="Times New Roman"/>
          <w:caps w:val="false"/>
          <w:smallCaps w:val="false"/>
          <w:sz w:val="20"/>
        </w:rPr>
        <w:t>June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28, 2022, </w:t>
      </w:r>
      <w:r>
        <w:rPr>
          <w:rFonts w:ascii="Times New Roman" w:hAnsi="Times New Roman"/>
          <w:caps w:val="false"/>
          <w:smallCaps w:val="false"/>
          <w:sz w:val="20"/>
        </w:rPr>
        <w:t xml:space="preserve">Daniel Haak filed a putative consumer class action lawsuit against Generac Power in the Middle District of Florida. The complaint alleges breaches of warranty, tort-based, and unjust enrichment claims against Generac Power relating to the sale and performance of certain clean energy products, and seeks to recover damages, including consequential damages, that the plaintiff and putative class allegedly incurred. Additional putative class actions were filed by consumers raising similar claims and allegations in other district court cases. These putative class actions have been consolidated into a Multidistrict Litigation, In re: Generac Solar Power Systems Marketing, Sales Practices and Products Liability Litigation currently pending in the Eastern District of Wisconsin, Case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23</w:t>
      </w:r>
      <w:r>
        <w:rPr>
          <w:rFonts w:ascii="Times New Roman" w:hAnsi="Times New Roman"/>
          <w:caps w:val="false"/>
          <w:smallCaps w:val="false"/>
          <w:sz w:val="20"/>
        </w:rPr>
        <w:t>-md-</w:t>
      </w:r>
      <w:r>
        <w:rPr>
          <w:rStyle w:val="Emphasis"/>
          <w:rFonts w:ascii="Times New Roman" w:hAnsi="Times New Roman"/>
          <w:caps w:val="false"/>
          <w:smallCaps w:val="false"/>
          <w:sz w:val="20"/>
        </w:rPr>
        <w:t>3078.</w:t>
      </w:r>
      <w:r>
        <w:rPr>
          <w:rFonts w:ascii="Times New Roman" w:hAnsi="Times New Roman"/>
          <w:caps w:val="false"/>
          <w:smallCaps w:val="false"/>
          <w:sz w:val="20"/>
        </w:rPr>
        <w:t xml:space="preserve"> Generac Power and plaintiffs participated in a mediation through which the parties agreed to certain monetary and non-monetary terms to resolve the matter on a classwide basis. The parties have obtained preliminary approval for the classwide settlement and will be seeking final approval. In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Generac Power recorded a reserve for the contemplated $15,000 settlement fund. Generac Power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concede liability or any charges of wrongdoing in connection with the proposed 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1, 2022, </w:t>
      </w:r>
      <w:r>
        <w:rPr>
          <w:rFonts w:ascii="Times New Roman" w:hAnsi="Times New Roman"/>
          <w:caps w:val="false"/>
          <w:smallCaps w:val="false"/>
          <w:sz w:val="20"/>
        </w:rPr>
        <w:t xml:space="preserve">Oakland County Voluntary Employees’ Beneficiary Association and Oakland County Employees’ Retirement System filed a putative securities class action lawsuit against the Company and certain of its officers in the Eastern District of Wisconsin. The court subsequently consolidated a later filed action and appointed a lead plaintiff. The lead plaintiff filed a consolidated complaint alleging violation of federal securities law related to disclosures of certain matters (the Oakland County Lawsuit). On </w:t>
      </w:r>
      <w:r>
        <w:rPr>
          <w:rStyle w:val="Emphasis"/>
          <w:rFonts w:ascii="Times New Roman" w:hAnsi="Times New Roman"/>
          <w:caps w:val="false"/>
          <w:smallCaps w:val="false"/>
          <w:sz w:val="20"/>
        </w:rPr>
        <w:t xml:space="preserve">February 7, 2025, </w:t>
      </w:r>
      <w:r>
        <w:rPr>
          <w:rFonts w:ascii="Times New Roman" w:hAnsi="Times New Roman"/>
          <w:caps w:val="false"/>
          <w:smallCaps w:val="false"/>
          <w:sz w:val="20"/>
        </w:rPr>
        <w:t xml:space="preserve">the court granted the Company’s motion to dismiss and found that plaintiffs failed to adequately plead a securities fraud claim. Plaintiffs filed an amended complaint on </w:t>
      </w:r>
      <w:r>
        <w:rPr>
          <w:rStyle w:val="Emphasis"/>
          <w:rFonts w:ascii="Times New Roman" w:hAnsi="Times New Roman"/>
          <w:caps w:val="false"/>
          <w:smallCaps w:val="false"/>
          <w:sz w:val="20"/>
        </w:rPr>
        <w:t>March 10, 2025.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April 30, 2026, </w:t>
      </w:r>
      <w:r>
        <w:rPr>
          <w:rFonts w:ascii="Times New Roman" w:hAnsi="Times New Roman"/>
          <w:caps w:val="false"/>
          <w:smallCaps w:val="false"/>
          <w:sz w:val="20"/>
        </w:rPr>
        <w:t>the court granted the Company’s motion to dismiss the amended complaint with prejudice, again finding that plaintiffs failed to adequately plead a securities fraud claim, and directed the entry of final judgment in favor of the Company. Plaintiffs have appealed the judgment of dismissal, and the Company intends to vigorously defend the judgment.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3, 2023, </w:t>
      </w:r>
      <w:r>
        <w:rPr>
          <w:rFonts w:ascii="Times New Roman" w:hAnsi="Times New Roman"/>
          <w:caps w:val="false"/>
          <w:smallCaps w:val="false"/>
          <w:sz w:val="20"/>
        </w:rPr>
        <w:t xml:space="preserve">a purported Company shareholder filed a shareholder derivative action against certain of the Company’s officers and directors in the United States District Court for the Eastern District of Wisconsin. The complaint seeks unspecified damages on behalf of the Company and certain other relief, such as certain reforms to corporate governance practices. The complaint (in which the Company is named as a nominal defendant) generally alleges, among other things, breaches of fiduciary duties in connection with the oversight of the Company’s public statements and legal compliance, and that the Company was damaged as a result of the breaches of fiduciary duties, and the defendants were unjustly enriched. The complaint also alleges, among other things, violations of Sections </w:t>
      </w:r>
      <w:r>
        <w:rPr>
          <w:rStyle w:val="Emphasis"/>
          <w:rFonts w:ascii="Times New Roman" w:hAnsi="Times New Roman"/>
          <w:caps w:val="false"/>
          <w:smallCaps w:val="false"/>
          <w:sz w:val="20"/>
        </w:rPr>
        <w:t>14</w:t>
      </w:r>
      <w:r>
        <w:rPr>
          <w:rFonts w:ascii="Times New Roman" w:hAnsi="Times New Roman"/>
          <w:caps w:val="false"/>
          <w:smallCaps w:val="false"/>
          <w:sz w:val="20"/>
        </w:rPr>
        <w:t xml:space="preserve">(a),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(b) and </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(a) of the Securities Exchange Act of </w:t>
      </w:r>
      <w:r>
        <w:rPr>
          <w:rStyle w:val="Emphasis"/>
          <w:rFonts w:ascii="Times New Roman" w:hAnsi="Times New Roman"/>
          <w:caps w:val="false"/>
          <w:smallCaps w:val="false"/>
          <w:sz w:val="20"/>
        </w:rPr>
        <w:t>1934,</w:t>
      </w:r>
      <w:r>
        <w:rPr>
          <w:rFonts w:ascii="Times New Roman" w:hAnsi="Times New Roman"/>
          <w:caps w:val="false"/>
          <w:smallCaps w:val="false"/>
          <w:sz w:val="20"/>
        </w:rPr>
        <w:t xml:space="preserve"> abuse of control, gross mismanagement, and waste of corporate assets. The Company has received several additional derivative actions filed in both state and federal courts raising similar claims and allegations, including issues raised in the Oakland County Lawsuit. The Company disputes the allegations in the shareholder derivative actions and intends to vigorously defend against the claims in the complaints.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28, 2022, </w:t>
      </w:r>
      <w:r>
        <w:rPr>
          <w:rFonts w:ascii="Times New Roman" w:hAnsi="Times New Roman"/>
          <w:caps w:val="false"/>
          <w:smallCaps w:val="false"/>
          <w:sz w:val="20"/>
        </w:rPr>
        <w:t xml:space="preserve">Generac Power received a grand jury subpoena from the U.S. Attorney for the Eastern District of Michigan and, as a result, the Company became aware of an enforcement investigation by the U.S. DOJ. The subpoena requests similar documents and information provided by the Company to the U.S. EPA and the CARB in response to civil document requests related to the Company’s compliance with emissions regulations for approximately </w:t>
      </w:r>
      <w:r>
        <w:rPr>
          <w:rStyle w:val="Emphasis"/>
          <w:rFonts w:ascii="Times New Roman" w:hAnsi="Times New Roman"/>
          <w:caps w:val="false"/>
          <w:smallCaps w:val="false"/>
          <w:sz w:val="20"/>
        </w:rPr>
        <w:t>1,850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 thousands) portable generators produced by the Company in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and sold in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 xml:space="preserve">October 3, 2025, </w:t>
      </w:r>
      <w:r>
        <w:rPr>
          <w:rFonts w:ascii="Times New Roman" w:hAnsi="Times New Roman"/>
          <w:caps w:val="false"/>
          <w:smallCaps w:val="false"/>
          <w:sz w:val="20"/>
        </w:rPr>
        <w:t xml:space="preserve">the Company received notice from the EPA that it would seek to void certain emissions certifications for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affecting approximately </w:t>
      </w:r>
      <w:r>
        <w:rPr>
          <w:rStyle w:val="Emphasis"/>
          <w:rFonts w:ascii="Times New Roman" w:hAnsi="Times New Roman"/>
          <w:caps w:val="false"/>
          <w:smallCaps w:val="false"/>
          <w:sz w:val="20"/>
        </w:rPr>
        <w:t>4,850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 thousands) additional portable generators as the Company previously disclosed in Note </w:t>
      </w:r>
      <w:r>
        <w:rPr>
          <w:rStyle w:val="Emphasis"/>
          <w:rFonts w:ascii="Times New Roman" w:hAnsi="Times New Roman"/>
          <w:caps w:val="false"/>
          <w:smallCaps w:val="false"/>
          <w:sz w:val="20"/>
        </w:rPr>
        <w:t>18,</w:t>
      </w:r>
      <w:r>
        <w:rPr>
          <w:rFonts w:ascii="Times New Roman" w:hAnsi="Times New Roman"/>
          <w:caps w:val="false"/>
          <w:smallCaps w:val="false"/>
          <w:sz w:val="20"/>
        </w:rPr>
        <w:t xml:space="preserve"> “Commitments and Contingencies,” to its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The Company is cooperating with the DOJ, EPA and CARB regarding these topics, making various voluntary self-disclosures to the EPA since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and responding to other ancillary requests for information, including a request for additional information the Company received from the EPA on </w:t>
      </w:r>
      <w:r>
        <w:rPr>
          <w:rStyle w:val="Emphasis"/>
          <w:rFonts w:ascii="Times New Roman" w:hAnsi="Times New Roman"/>
          <w:caps w:val="false"/>
          <w:smallCaps w:val="false"/>
          <w:sz w:val="20"/>
        </w:rPr>
        <w:t>May 12,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8, 2022, </w:t>
      </w:r>
      <w:r>
        <w:rPr>
          <w:rFonts w:ascii="Times New Roman" w:hAnsi="Times New Roman"/>
          <w:caps w:val="false"/>
          <w:smallCaps w:val="false"/>
          <w:sz w:val="20"/>
        </w:rPr>
        <w:t xml:space="preserve">Ollnova Technologies Limited, a non-practicing entity, filed a patent infringement lawsuit against ecobee Technologies, ULC. (ecobee) in the United States District Court for the Eastern District of Texas (Case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22</w:t>
      </w:r>
      <w:r>
        <w:rPr>
          <w:rFonts w:ascii="Times New Roman" w:hAnsi="Times New Roman"/>
          <w:caps w:val="false"/>
          <w:smallCaps w:val="false"/>
          <w:sz w:val="20"/>
        </w:rPr>
        <w:t>-cv-</w:t>
      </w:r>
      <w:r>
        <w:rPr>
          <w:rStyle w:val="Emphasis"/>
          <w:rFonts w:ascii="Times New Roman" w:hAnsi="Times New Roman"/>
          <w:caps w:val="false"/>
          <w:smallCaps w:val="false"/>
          <w:sz w:val="20"/>
        </w:rPr>
        <w:t>00072</w:t>
      </w:r>
      <w:r>
        <w:rPr>
          <w:rFonts w:ascii="Times New Roman" w:hAnsi="Times New Roman"/>
          <w:caps w:val="false"/>
          <w:smallCaps w:val="false"/>
          <w:sz w:val="20"/>
        </w:rPr>
        <w:t xml:space="preserve">-JRG). Ollnova claimed that ecobee infringes on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of its patents. At a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trial in </w:t>
      </w:r>
      <w:r>
        <w:rPr>
          <w:rStyle w:val="Emphasis"/>
          <w:rFonts w:ascii="Times New Roman" w:hAnsi="Times New Roman"/>
          <w:caps w:val="false"/>
          <w:smallCaps w:val="false"/>
          <w:sz w:val="20"/>
        </w:rPr>
        <w:t xml:space="preserve">October 5, 2023, </w:t>
      </w:r>
      <w:r>
        <w:rPr>
          <w:rFonts w:ascii="Times New Roman" w:hAnsi="Times New Roman"/>
          <w:caps w:val="false"/>
          <w:smallCaps w:val="false"/>
          <w:sz w:val="20"/>
        </w:rPr>
        <w:t xml:space="preserve">the jury invalidated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Ollnova’s patents and found ecobee infringed at least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the claims of the asserted patents. On </w:t>
      </w:r>
      <w:r>
        <w:rPr>
          <w:rStyle w:val="Emphasis"/>
          <w:rFonts w:ascii="Times New Roman" w:hAnsi="Times New Roman"/>
          <w:caps w:val="false"/>
          <w:smallCaps w:val="false"/>
          <w:sz w:val="20"/>
        </w:rPr>
        <w:t xml:space="preserve">March 1, 2024, </w:t>
      </w:r>
      <w:r>
        <w:rPr>
          <w:rFonts w:ascii="Times New Roman" w:hAnsi="Times New Roman"/>
          <w:caps w:val="false"/>
          <w:smallCaps w:val="false"/>
          <w:sz w:val="20"/>
        </w:rPr>
        <w:t xml:space="preserve">the trial court entered judgment against ecobee for $11,500, plus prejudgment and post-judgment interest. 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Company recorded a reserve of $12,669 related to this matter. 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Company recorded an additional reserve of $1,826 for estimated prejudgment and post-judgement interest and continued to accrue for post-judgment interest thereafter. ecobee appealed the trial court’s judgment and on </w:t>
      </w:r>
      <w:r>
        <w:rPr>
          <w:rStyle w:val="Emphasis"/>
          <w:rFonts w:ascii="Times New Roman" w:hAnsi="Times New Roman"/>
          <w:caps w:val="false"/>
          <w:smallCaps w:val="false"/>
          <w:sz w:val="20"/>
        </w:rPr>
        <w:t xml:space="preserve">June 4, 2026, </w:t>
      </w:r>
      <w:r>
        <w:rPr>
          <w:rFonts w:ascii="Times New Roman" w:hAnsi="Times New Roman"/>
          <w:caps w:val="false"/>
          <w:smallCaps w:val="false"/>
          <w:sz w:val="20"/>
        </w:rPr>
        <w:t xml:space="preserve">the Court of Appeals for the Federal Circuit vacated the judgment and ordered a new trial, which the trial court scheduled for </w:t>
      </w:r>
      <w:r>
        <w:rPr>
          <w:rStyle w:val="Emphasis"/>
          <w:rFonts w:ascii="Times New Roman" w:hAnsi="Times New Roman"/>
          <w:caps w:val="false"/>
          <w:smallCaps w:val="false"/>
          <w:sz w:val="20"/>
        </w:rPr>
        <w:t xml:space="preserve">July 10, 2026. </w:t>
      </w:r>
      <w:r>
        <w:rPr>
          <w:rFonts w:ascii="Times New Roman" w:hAnsi="Times New Roman"/>
          <w:caps w:val="false"/>
          <w:smallCaps w:val="false"/>
          <w:sz w:val="20"/>
        </w:rPr>
        <w:t xml:space="preserve">Subsequently, the parties resolved their dispute pursuant to a confidential settlement agreement without an admission of liability, infringement, or any wrongdoing. In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the Company reduced the reserve established for the original verdict and interest to the amount of the settlement.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December 5, 2023, seven</w:t>
      </w:r>
      <w:r>
        <w:rPr>
          <w:rFonts w:ascii="Times New Roman" w:hAnsi="Times New Roman"/>
          <w:caps w:val="false"/>
          <w:smallCaps w:val="false"/>
          <w:sz w:val="20"/>
        </w:rPr>
        <w:t xml:space="preserve"> plaintiffs filed a product liability lawsuit in the Philadelphia County Court of Common Pleas against Generac Power, other Generac affiliates, and unrelated entities for damages sustained in an accident involving a </w:t>
      </w:r>
      <w:r>
        <w:rPr>
          <w:rStyle w:val="Emphasis"/>
          <w:rFonts w:ascii="Times New Roman" w:hAnsi="Times New Roman"/>
          <w:caps w:val="false"/>
          <w:smallCaps w:val="false"/>
          <w:sz w:val="20"/>
        </w:rPr>
        <w:t>GP15000E</w:t>
      </w:r>
      <w:r>
        <w:rPr>
          <w:rFonts w:ascii="Times New Roman" w:hAnsi="Times New Roman"/>
          <w:caps w:val="false"/>
          <w:smallCaps w:val="false"/>
          <w:sz w:val="20"/>
        </w:rPr>
        <w:t xml:space="preserve"> portable generator that occurred on </w:t>
      </w:r>
      <w:r>
        <w:rPr>
          <w:rStyle w:val="Emphasis"/>
          <w:rFonts w:ascii="Times New Roman" w:hAnsi="Times New Roman"/>
          <w:caps w:val="false"/>
          <w:smallCaps w:val="false"/>
          <w:sz w:val="20"/>
        </w:rPr>
        <w:t>October 4, 2023 (</w:t>
      </w:r>
      <w:r>
        <w:rPr>
          <w:rFonts w:ascii="Times New Roman" w:hAnsi="Times New Roman"/>
          <w:caps w:val="false"/>
          <w:smallCaps w:val="false"/>
          <w:sz w:val="20"/>
        </w:rPr>
        <w:t xml:space="preserve">Zawaski, et al. v. Generac Power Systems, Inc., et al.). Plaintiffs pursued claims against Generac Power for negligence, strict liability, and loss of consortium, seeking compensatory and punitive damages. On </w:t>
      </w:r>
      <w:r>
        <w:rPr>
          <w:rStyle w:val="Emphasis"/>
          <w:rFonts w:ascii="Times New Roman" w:hAnsi="Times New Roman"/>
          <w:caps w:val="false"/>
          <w:smallCaps w:val="false"/>
          <w:sz w:val="20"/>
        </w:rPr>
        <w:t xml:space="preserve">January 26, 2026, </w:t>
      </w:r>
      <w:r>
        <w:rPr>
          <w:rFonts w:ascii="Times New Roman" w:hAnsi="Times New Roman"/>
          <w:caps w:val="false"/>
          <w:smallCaps w:val="false"/>
          <w:sz w:val="20"/>
        </w:rPr>
        <w:t xml:space="preserve">the Company, together with other co-defendants, agreed to enter a settlement in principle to resolve all asserted claims, while denying any wrongdoing, to eliminate the uncertainty, burden, and expense of protracted litigation. The Company agreed to pay $104,500 in addition to the Company’s excess insurance for the applicable policy year. As of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and </w:t>
      </w:r>
      <w:r>
        <w:rPr>
          <w:rStyle w:val="Emphasis"/>
          <w:rFonts w:ascii="Times New Roman" w:hAnsi="Times New Roman"/>
          <w:caps w:val="false"/>
          <w:smallCaps w:val="false"/>
          <w:sz w:val="20"/>
        </w:rPr>
        <w:t xml:space="preserve"> December 31, 2025, </w:t>
      </w:r>
      <w:r>
        <w:rPr>
          <w:rFonts w:ascii="Times New Roman" w:hAnsi="Times New Roman"/>
          <w:caps w:val="false"/>
          <w:smallCaps w:val="false"/>
          <w:sz w:val="20"/>
        </w:rPr>
        <w:t xml:space="preserve">the Company has reflected a reserve for $206,500 within other accrued liabilities and an insurance receivable for $102,000 in prepaid expenses and other assets in the condensed consolidated balance sheets. The Company and its insurance carriers satisfied the payment obligation on </w:t>
      </w:r>
      <w:r>
        <w:rPr>
          <w:rStyle w:val="Emphasis"/>
          <w:rFonts w:ascii="Times New Roman" w:hAnsi="Times New Roman"/>
          <w:caps w:val="false"/>
          <w:smallCaps w:val="false"/>
          <w:sz w:val="20"/>
        </w:rPr>
        <w:t>April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9, 2024, </w:t>
      </w:r>
      <w:r>
        <w:rPr>
          <w:rFonts w:ascii="Times New Roman" w:hAnsi="Times New Roman"/>
          <w:caps w:val="false"/>
          <w:smallCaps w:val="false"/>
          <w:sz w:val="20"/>
        </w:rPr>
        <w:t xml:space="preserve">Champion Power Equipment, Inc. (Champion) filed a patent infringement lawsuit against Generac Power in the United States District Court for the Eastern District of Wisconsin (Case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24</w:t>
      </w:r>
      <w:r>
        <w:rPr>
          <w:rFonts w:ascii="Times New Roman" w:hAnsi="Times New Roman"/>
          <w:caps w:val="false"/>
          <w:smallCaps w:val="false"/>
          <w:sz w:val="20"/>
        </w:rPr>
        <w:t>-cv-</w:t>
      </w:r>
      <w:r>
        <w:rPr>
          <w:rStyle w:val="Emphasis"/>
          <w:rFonts w:ascii="Times New Roman" w:hAnsi="Times New Roman"/>
          <w:caps w:val="false"/>
          <w:smallCaps w:val="false"/>
          <w:sz w:val="20"/>
        </w:rPr>
        <w:t>01281</w:t>
      </w:r>
      <w:r>
        <w:rPr>
          <w:rFonts w:ascii="Times New Roman" w:hAnsi="Times New Roman"/>
          <w:caps w:val="false"/>
          <w:smallCaps w:val="false"/>
          <w:sz w:val="20"/>
        </w:rPr>
        <w:t>-LA). Champion claims that certain Generac and Powermate branded multi-fuel portable generators infringe on Champion’s portfolio of dual and multi-fuel patents. Generac Power denies infringement and has filed a counterclaim against Champion claiming that some of Champion’s portable generators infringe on Generac Power’s patents relating to carbon monoxide detection and engine shutoff technologies. Champion in turn filed new patent infringement claims relating to its own carbon monoxide detection and shutoff technology. Generac Power denies the infringement allegations and intends to vigorously defend the matter.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October 18, 2024, two</w:t>
      </w:r>
      <w:r>
        <w:rPr>
          <w:rFonts w:ascii="Times New Roman" w:hAnsi="Times New Roman"/>
          <w:caps w:val="false"/>
          <w:smallCaps w:val="false"/>
          <w:sz w:val="20"/>
        </w:rPr>
        <w:t xml:space="preserve"> individuals filed a putative consumer class action lawsuit against Generac Power and the Company in the Middle District of Florida (Case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24</w:t>
      </w:r>
      <w:r>
        <w:rPr>
          <w:rFonts w:ascii="Times New Roman" w:hAnsi="Times New Roman"/>
          <w:caps w:val="false"/>
          <w:smallCaps w:val="false"/>
          <w:sz w:val="20"/>
        </w:rPr>
        <w:t>-cv-</w:t>
      </w:r>
      <w:r>
        <w:rPr>
          <w:rStyle w:val="Emphasis"/>
          <w:rFonts w:ascii="Times New Roman" w:hAnsi="Times New Roman"/>
          <w:caps w:val="false"/>
          <w:smallCaps w:val="false"/>
          <w:sz w:val="20"/>
        </w:rPr>
        <w:t>02412</w:t>
      </w:r>
      <w:r>
        <w:rPr>
          <w:rFonts w:ascii="Times New Roman" w:hAnsi="Times New Roman"/>
          <w:caps w:val="false"/>
          <w:smallCaps w:val="false"/>
          <w:sz w:val="20"/>
        </w:rPr>
        <w:t xml:space="preserve">). Plaintiffs amended their original complaint to include additional plaintiffs and theories of liability. Plaintiffs alleged certain defects exist in home standby generators manufactured or sold to consumers from </w:t>
      </w:r>
      <w:r>
        <w:rPr>
          <w:rStyle w:val="Emphasis"/>
          <w:rFonts w:ascii="Times New Roman" w:hAnsi="Times New Roman"/>
          <w:caps w:val="false"/>
          <w:smallCaps w:val="false"/>
          <w:sz w:val="20"/>
        </w:rPr>
        <w:t>2020</w:t>
      </w:r>
      <w:r>
        <w:rPr>
          <w:rFonts w:ascii="Times New Roman" w:hAnsi="Times New Roman"/>
          <w:caps w:val="false"/>
          <w:smallCaps w:val="false"/>
          <w:sz w:val="20"/>
        </w:rPr>
        <w:t>-</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Plaintiffs asserted breaches of warranty, tort-based, and statutory claims relating to the sale and performance of home standby generators. The court dismissed (</w:t>
      </w:r>
      <w:r>
        <w:rPr>
          <w:rStyle w:val="Emphasis"/>
          <w:rFonts w:ascii="Times New Roman" w:hAnsi="Times New Roman"/>
          <w:caps w:val="false"/>
          <w:smallCaps w:val="false"/>
          <w:sz w:val="20"/>
        </w:rPr>
        <w:t>1</w:t>
      </w:r>
      <w:r>
        <w:rPr>
          <w:rFonts w:ascii="Times New Roman" w:hAnsi="Times New Roman"/>
          <w:caps w:val="false"/>
          <w:smallCaps w:val="false"/>
          <w:sz w:val="20"/>
        </w:rPr>
        <w:t>) all claims against the Company and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all non-Florida residents’ claims against Generac Power for lack of personal jurisdiction, and limited the Florida plaintiffs’ claims against Generac Power to claims for breach of express warranty.  The Company disputes the allegations and intends to vigorously defend against the remaining claims in the Amended Complaint, including that the case should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proceed as a class action.</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It is presently unlikely that any legal, regulatory or other proceedings pending against or involving the Company will have a material adverse effect on the Company’s financial condition, results of operations or cash flows. However, in many of these matters, it is inherently difficult to determine whether a loss is probable or to estimate the size or range of the possible loss given the variety and potential outcomes of actual and potential claims, the uncertainty of future rulings, the behavior or incentives of adverse parties, and other factors outside the control of the Company. Accordingly, the Company’s loss reserves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change from time to time, and actual losses could exceed the amounts reserved by an amount that could be material to the Company’s consolidated financial position, results of operations or cash flows in any particular reporting period.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Times;serif" w:hAnsi="Times New Roman;Times;serif"/>
          <w:sz w:val="20"/>
        </w:rPr>
      </w:pPr>
      <w:bookmarkStart w:id="9" w:name="item2"/>
      <w:bookmarkEnd w:id="9"/>
      <w:r>
        <w:rPr>
          <w:rFonts w:ascii="Times New Roman;Times;serif" w:hAnsi="Times New Roman;Times;serif"/>
          <w:b/>
          <w:sz w:val="20"/>
        </w:rPr>
        <w:t>Item 2.</w:t>
      </w:r>
      <w:r>
        <w:rPr>
          <w:rFonts w:ascii="Times New Roman;Times;serif" w:hAnsi="Times New Roman;Times;serif"/>
          <w:sz w:val="20"/>
        </w:rPr>
        <w:t>          </w:t>
      </w:r>
      <w:r>
        <w:rPr>
          <w:rFonts w:ascii="Times New Roman;Times;serif" w:hAnsi="Times New Roman;Times;serif"/>
          <w:b/>
          <w:sz w:val="20"/>
        </w:rPr>
        <w:t>Management’s Discussion and Analysis of Financial Condition and Results of Operations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quarterly report contains forward-looking statements that are subject to risks and uncertainties. Forward-looking statements give our current expectations and projections relating to our financial condition, results of operations, plans, objectives, future performance and business. You can identify forward-looking statements by the fact that they do not relate strictly to historical or current facts. These statements may include words such as “anticipate,” “estimate,” “expect,” “forecast,” “project,” “plan,” “intend,” “believe,” “confident,” “may,” “should,” “can have,” “likely,” “future,” “optimistic” and other words and terms of similar meaning in connection with any discussion of the timing or nature of future operating or financial performance or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forward-looking statements contained in this quarterly report are based on assumptions that we have made in light of our industry experience and on our perceptions of historical trends, current conditions, expected future developments and other factors we believe are appropriate under the circumstances. As you read and consider this report, you should understand that these statements are not guarantees of performance or results. They involve risks, uncertainties (some of which are beyond our control) and assumptions. Although we believe that these forward-looking statements are based on reasonable assumptions, you should be aware that many factors could affect our actual financial results and cause them to differ materially from those anticipated in the forward-looking statements. The forward-looking statements contained in this quarterly report include estimates and comments regarding:</w:t>
      </w:r>
    </w:p>
    <w:p>
      <w:pPr>
        <w:pStyle w:val="TextBody"/>
        <w:bidi w:val="0"/>
        <w:spacing w:before="0" w:after="0"/>
        <w:ind w:left="0" w:right="0" w:hanging="0"/>
        <w:jc w:val="both"/>
        <w:rPr/>
      </w:pPr>
      <w:r>
        <w:rPr/>
        <w:t> </w:t>
      </w:r>
    </w:p>
    <w:tbl>
      <w:tblPr>
        <w:tblW w:w="8830" w:type="dxa"/>
        <w:jc w:val="left"/>
        <w:tblInd w:w="0" w:type="dxa"/>
        <w:tblLayout w:type="fixed"/>
        <w:tblCellMar>
          <w:top w:w="0" w:type="dxa"/>
          <w:left w:w="0" w:type="dxa"/>
          <w:bottom w:w="0" w:type="dxa"/>
          <w:right w:w="0" w:type="dxa"/>
        </w:tblCellMar>
      </w:tblPr>
      <w:tblGrid>
        <w:gridCol w:w="60"/>
        <w:gridCol w:w="170"/>
        <w:gridCol w:w="860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86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business and markets that we serve, financial and operating results, and future economic performance; </w:t>
            </w:r>
          </w:p>
        </w:tc>
      </w:tr>
    </w:tbl>
    <w:tbl>
      <w:tblPr>
        <w:tblW w:w="4225" w:type="dxa"/>
        <w:jc w:val="left"/>
        <w:tblInd w:w="0" w:type="dxa"/>
        <w:tblLayout w:type="fixed"/>
        <w:tblCellMar>
          <w:top w:w="0" w:type="dxa"/>
          <w:left w:w="0" w:type="dxa"/>
          <w:bottom w:w="0" w:type="dxa"/>
          <w:right w:w="0" w:type="dxa"/>
        </w:tblCellMar>
      </w:tblPr>
      <w:tblGrid>
        <w:gridCol w:w="60"/>
        <w:gridCol w:w="170"/>
        <w:gridCol w:w="399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39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proposed new product and service offerings; and </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management's goals, expectations, and objectives, and other similar expressions concerning matters that are not historical facts.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color w:val="000000"/>
          <w:sz w:val="20"/>
        </w:rPr>
      </w:pPr>
      <w:r>
        <w:rPr>
          <w:rFonts w:ascii="Times New Roman;Times;serif" w:hAnsi="Times New Roman;Times;serif"/>
          <w:color w:val="000000"/>
          <w:sz w:val="20"/>
        </w:rPr>
        <w:t>Factors that could affect our actual financial results and cause them to differ materially from those anticipated in the forward-looking statements include:</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frequency and duration of power outages impacting demand for our products;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283"/>
              <w:jc w:val="both"/>
              <w:rPr/>
            </w:pPr>
            <w:r>
              <w:rPr/>
              <w:t>fluctuations in cost, availability, and quality of raw materials, key components and labor required to manufacture our products;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our dependence on a small number of contract manufacturers and component suppliers, including single-source suppliers;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changes and volatility with respect to the trade policies of various countries, which may result in new or increased tariffs, trade restrictions, or other unfavorable trade actions;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our ability to protect our intellectual property rights or successfully defend against third party infringement claims;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changes in durable goods spending by consumers and businesses or other global macroeconomic conditions, impacting demand for our products;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changes in governmental policies, particularly with respect to tax incentives, tax credits, or grant programs, which could: (i) affect the demand for certain of our products; or (ii) result in a withdrawal or reduction of grants previously awarded to the Company;</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increase in product and other liability claims, warranty costs, recalls, or other claims;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significant legal proceedings, claims, fines, penalties, tax assessments, lawsuits or government investigations;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color w:val="000000"/>
              </w:rPr>
            </w:pPr>
            <w:r>
              <w:rPr>
                <w:color w:val="000000"/>
              </w:rPr>
              <w:t>our ability to consummate our share repurchase programs;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color w:val="000000"/>
              </w:rPr>
              <w:t>our </w:t>
            </w:r>
            <w:r>
              <w:rPr/>
              <w:t>failure or inability to adapt to, or comply with, current or future changes in applicable laws, regulations, and product standards;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our ability to develop and enhance products and gain customer acceptance, including our offerings that serve the data center and energy technology markets;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uncertainty regarding the growth of the data center market;</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increase in contract risk related to terms with certain data center customers, including cancellation rights, delivery requirements, and potential liability exposure tied to our performance obligations or other claimed damages;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our ability to accurately forecast demand for our products and effectively manage inventory levels relative to such forecast;</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color w:val="000000"/>
              </w:rPr>
            </w:pPr>
            <w:r>
              <w:rPr>
                <w:color w:val="000000"/>
              </w:rPr>
              <w:t>our ability to remain competitive;</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color w:val="000000"/>
              </w:rPr>
            </w:pPr>
            <w:r>
              <w:rPr>
                <w:color w:val="000000"/>
              </w:rPr>
              <w:t>our dependence on our dealer and distribution network;</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market reaction to changes in selling prices or mix of products;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loss of our key management and employees;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disruptions from labor disputes or organized labor activities;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our ability to attract and retain employees;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disruptions in our manufacturing operations;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the possibility that the expected synergies, efficiencies and cost savings of our acquisitions, divestitures, restructurings, or realignments will not be realized, or will not be realized within the expected time period;</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risks related to sourcing components in foreign countries;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compliance with environmental, health and safety laws and regulations;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scrutiny regarding our sustainability practices;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0"/>
              <w:jc w:val="both"/>
              <w:rPr>
                <w:rFonts w:ascii="Times New Roman;serif" w:hAnsi="Times New Roman;serif"/>
                <w:color w:val="000000"/>
                <w:sz w:val="20"/>
              </w:rPr>
            </w:pPr>
            <w:r>
              <w:rPr>
                <w:rFonts w:ascii="Times New Roman;serif" w:hAnsi="Times New Roman;serif"/>
                <w:color w:val="000000"/>
                <w:sz w:val="20"/>
              </w:rPr>
              <w:t xml:space="preserve">government regulation of our products;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failures or security breaches of our networks, information technology systems, or connected products;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risks due to instability caused by geopolitical conflicts;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our ability to make payments on our indebtedness;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terms of our credit facilities that may restrict our operations;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our potential need for additional capital to finance our growth or refinancing our existing credit facilities;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risks of impairment of the value of our goodwill and other indefinite-lived assets;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volatility of our stock price; and</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potential tax liabilities.</w:t>
            </w:r>
          </w:p>
        </w:tc>
      </w:tr>
    </w:tbl>
    <w:p>
      <w:pPr>
        <w:pStyle w:val="TextBody"/>
        <w:bidi w:val="0"/>
        <w:spacing w:before="0" w:after="0"/>
        <w:ind w:left="72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Should one or more of these risks or uncertainties materialize, or should any of these assumptions prove incorrect, our actual results may vary in material respects from those projected in any forward-looking statements. A detailed discussion of these and other factors that may affect future results is contained in our filings with the Securities and Exchange Commission, including in Item 1A of our Annual Report on Form 10-K for the year ended December 31, 2025 and in Part II, Item 1A of this Quarterly Report on Form 10-Q. Stockholders, potential investors and other readers should consider these factors carefully in evaluating the forward-looking statements.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forward-looking statement made by us in this report speaks only as of the date on which it is made. Factors or events that could cause our actual results to differ may emerge from time to time, and it is not possible for us to predict all of them. We undertake no obligation to update any forward-looking statement, whether as a result of new information, future developments or otherwise, except as may be required by law.</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Founded in 1959, Generac is a leading global designer, manufacturer, and provider of a wide range of energy technology solutions. Generac provides power generation equipment, energy storage systems, energy management devices &amp; solutions, and other power products and services serving the residential, commercial, data center, telecom, rental, and industrial markets. The Company’s broad portfolio of energy technology offerings for homes and businesses enables its mission to Power a Smarter World and lead the evolution to more resilient, efficient, and innovative energy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 long history of providing power generation products across a variety of applications, and we maintain one of the leading positions in the North American market for power equipment with an expanding presence internationally. We believe we have one of the widest ranges of products in the power generation marketplace, including residential, commercial, and industrial standby generators, as well as portable and mobile generators used in a variety of applications. The recent introduction of our large-megawatt diesel generator line-up has substantially increased our served addressable market, allowing us to participate in the supply-constrained data center market which is expected to grow significantly over the coming years due to the mass adoption of artificial intelligence. Over the last few years, we have also been focused on building out ecosystems of energy technology products, solutions, and services for homes and businesses, allowing us to fully integrate our product portfolios together into common platforms and enabling end users to better manage their energy resilience and costs. We have also been leveraging our leading position in the growing market for natural gas fueled generators, which we believe represents a cleaner fuel compared to diesel, to develop solutions for applications beyond standby power, allowing us to participate in multipurpose microgrid projects for C&amp;I customers. As the traditional centralized utility model evolves over time, we believe that a more decarbonized, digitized, and decentralized grid infrastructure will develop, and our energy technology solutions are uniquely and strategically positioned to participate in this next-generation grid.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Given our competitive strengths in our traditional power generation markets, we believe we are well-positioned to execute on the growing opportunity for backup power for homes and businesses, where increased penetration is being driven by multiple mega-trends that are resulting in poorer power quality for end users. In addition, our focus on more resilient, efficient and innovative energy solutions has increased our served addressable market, and as a result, we believe we can provide products that can help offset rising energy costs as the traditional utility grid suffers from significant supply/demand imbalances over time.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Mega-Trends, Strategic Growth Themes, and Additional Business Drivers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“Powering a Smarter World” strategic plan serves as the framework for the significant investments that we have made, and will continue to make, to capitalize on the long-term growth prospects of Generac. Our enterprise strategy is derived from certain key mega-trends that we believe will drive various strategic growth themes for our business. Those mega-trends and growth themes are as follows:</w:t>
      </w:r>
    </w:p>
    <w:p>
      <w:pPr>
        <w:pStyle w:val="TextBody"/>
        <w:bidi w:val="0"/>
        <w:spacing w:before="0" w:after="0"/>
        <w:ind w:left="0" w:right="0" w:hanging="0"/>
        <w:jc w:val="both"/>
        <w:rPr>
          <w:color w:val="000000"/>
        </w:rPr>
      </w:pPr>
      <w:r>
        <w:rPr>
          <w:color w:val="000000"/>
        </w:rPr>
        <w:t> </w:t>
      </w:r>
    </w:p>
    <w:p>
      <w:pPr>
        <w:pStyle w:val="TextBody"/>
        <w:bidi w:val="0"/>
        <w:spacing w:before="0" w:after="0"/>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Key Mega-Trends: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70"/>
        <w:gridCol w:w="290"/>
        <w:gridCol w:w="974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Lower power quality continuing to drive demand for backup power solutions:</w:t>
            </w:r>
          </w:p>
        </w:tc>
      </w:tr>
      <w:tr>
        <w:trPr/>
        <w:tc>
          <w:tcPr>
            <w:tcW w:w="170" w:type="dxa"/>
            <w:tcBorders/>
            <w:vAlign w:val="center"/>
          </w:tcPr>
          <w:p>
            <w:pPr>
              <w:pStyle w:val="TableContents"/>
              <w:bidi w:val="0"/>
              <w:spacing w:before="0" w:after="283"/>
              <w:jc w:val="both"/>
              <w:rPr/>
            </w:pPr>
            <w:r>
              <w:rPr/>
              <w:t> </w:t>
            </w:r>
          </w:p>
        </w:tc>
        <w:tc>
          <w:tcPr>
            <w:tcW w:w="290"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97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More frequent severe and volatile weather impacting an aging grid, causing increased power outage activity.</w:t>
            </w:r>
          </w:p>
        </w:tc>
      </w:tr>
      <w:tr>
        <w:trPr/>
        <w:tc>
          <w:tcPr>
            <w:tcW w:w="170" w:type="dxa"/>
            <w:tcBorders/>
            <w:vAlign w:val="center"/>
          </w:tcPr>
          <w:p>
            <w:pPr>
              <w:pStyle w:val="TableContents"/>
              <w:bidi w:val="0"/>
              <w:spacing w:before="0" w:after="283"/>
              <w:jc w:val="both"/>
              <w:rPr/>
            </w:pPr>
            <w:r>
              <w:rPr/>
              <w:t> </w:t>
            </w:r>
          </w:p>
        </w:tc>
        <w:tc>
          <w:tcPr>
            <w:tcW w:w="290"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97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Increasing deployment of intermittent generation sources coupled with accelerating electricity demand trends driving supply/demand imbalances for utilities and grid operators.</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Higher power prices driving the need for energy management solutions:</w:t>
            </w:r>
          </w:p>
        </w:tc>
      </w:tr>
      <w:tr>
        <w:trPr/>
        <w:tc>
          <w:tcPr>
            <w:tcW w:w="170" w:type="dxa"/>
            <w:tcBorders/>
            <w:vAlign w:val="center"/>
          </w:tcPr>
          <w:p>
            <w:pPr>
              <w:pStyle w:val="TableContents"/>
              <w:bidi w:val="0"/>
              <w:spacing w:before="0" w:after="283"/>
              <w:jc w:val="both"/>
              <w:rPr/>
            </w:pPr>
            <w:r>
              <w:rPr/>
              <w:t> </w:t>
            </w:r>
          </w:p>
        </w:tc>
        <w:tc>
          <w:tcPr>
            <w:tcW w:w="290"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97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Electrification trends causing power demand to exceed supply, driving up power prices. </w:t>
            </w:r>
          </w:p>
        </w:tc>
      </w:tr>
      <w:tr>
        <w:trPr/>
        <w:tc>
          <w:tcPr>
            <w:tcW w:w="170" w:type="dxa"/>
            <w:tcBorders/>
            <w:vAlign w:val="center"/>
          </w:tcPr>
          <w:p>
            <w:pPr>
              <w:pStyle w:val="TableContents"/>
              <w:bidi w:val="0"/>
              <w:spacing w:before="0" w:after="283"/>
              <w:jc w:val="both"/>
              <w:rPr/>
            </w:pPr>
            <w:r>
              <w:rPr/>
              <w:t> </w:t>
            </w:r>
          </w:p>
        </w:tc>
        <w:tc>
          <w:tcPr>
            <w:tcW w:w="290" w:type="dxa"/>
            <w:tcBorders/>
            <w:vAlign w:val="center"/>
          </w:tcPr>
          <w:p>
            <w:pPr>
              <w:pStyle w:val="TableContents"/>
              <w:bidi w:val="0"/>
              <w:spacing w:before="0" w:after="0"/>
              <w:ind w:left="0" w:right="0" w:hanging="0"/>
              <w:jc w:val="both"/>
              <w:rPr>
                <w:caps w:val="false"/>
                <w:smallCaps w:val="false"/>
              </w:rPr>
            </w:pPr>
            <w:r>
              <w:rPr>
                <w:caps w:val="false"/>
                <w:smallCaps w:val="false"/>
              </w:rPr>
              <w:t> ○ </w:t>
            </w:r>
          </w:p>
        </w:tc>
        <w:tc>
          <w:tcPr>
            <w:tcW w:w="97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Investment required to upgrade grid infrastructure and transition to renewable power sources, pushing prices higher.</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Artificial intelligence adoption accelerating, creating a large market opportunity for backup power:</w:t>
            </w:r>
          </w:p>
        </w:tc>
      </w:tr>
      <w:tr>
        <w:trPr/>
        <w:tc>
          <w:tcPr>
            <w:tcW w:w="170" w:type="dxa"/>
            <w:tcBorders/>
            <w:vAlign w:val="center"/>
          </w:tcPr>
          <w:p>
            <w:pPr>
              <w:pStyle w:val="TableContents"/>
              <w:bidi w:val="0"/>
              <w:spacing w:before="0" w:after="283"/>
              <w:jc w:val="both"/>
              <w:rPr/>
            </w:pPr>
            <w:r>
              <w:rPr/>
              <w:t> </w:t>
            </w:r>
          </w:p>
        </w:tc>
        <w:tc>
          <w:tcPr>
            <w:tcW w:w="290"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97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Significant power requirements for the buildout of data centers to enable AI adoption could drive further grid instability and higher power prices.</w:t>
            </w:r>
          </w:p>
        </w:tc>
      </w:tr>
      <w:tr>
        <w:trPr/>
        <w:tc>
          <w:tcPr>
            <w:tcW w:w="170" w:type="dxa"/>
            <w:tcBorders/>
            <w:vAlign w:val="center"/>
          </w:tcPr>
          <w:p>
            <w:pPr>
              <w:pStyle w:val="TableContents"/>
              <w:bidi w:val="0"/>
              <w:spacing w:before="0" w:after="283"/>
              <w:jc w:val="both"/>
              <w:rPr/>
            </w:pPr>
            <w:r>
              <w:rPr/>
              <w:t> </w:t>
            </w:r>
          </w:p>
        </w:tc>
        <w:tc>
          <w:tcPr>
            <w:tcW w:w="290"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9745" w:type="dxa"/>
            <w:tcBorders/>
            <w:vAlign w:val="center"/>
          </w:tcPr>
          <w:p>
            <w:pPr>
              <w:pStyle w:val="TableContents"/>
              <w:bidi w:val="0"/>
              <w:spacing w:before="0" w:after="283"/>
              <w:jc w:val="both"/>
              <w:rPr/>
            </w:pPr>
            <w:r>
              <w:rPr/>
              <w:t>Massive capital investment into hyperscale and edge data centers has created a very large market for back-up power that is supply-constrained, providing a significant growth opportunity for our newly introduced large-megawatt C&amp;I products.</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Growing demand for cleaner burning fuels: </w:t>
            </w:r>
          </w:p>
        </w:tc>
      </w:tr>
      <w:tr>
        <w:trPr/>
        <w:tc>
          <w:tcPr>
            <w:tcW w:w="170" w:type="dxa"/>
            <w:tcBorders/>
            <w:vAlign w:val="center"/>
          </w:tcPr>
          <w:p>
            <w:pPr>
              <w:pStyle w:val="TableContents"/>
              <w:bidi w:val="0"/>
              <w:spacing w:before="0" w:after="283"/>
              <w:jc w:val="both"/>
              <w:rPr/>
            </w:pPr>
            <w:r>
              <w:rPr/>
              <w:t> </w:t>
            </w:r>
          </w:p>
        </w:tc>
        <w:tc>
          <w:tcPr>
            <w:tcW w:w="290"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97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Natural gas and other alternative fuels are vital to the energy transition.</w:t>
            </w:r>
          </w:p>
        </w:tc>
      </w:tr>
      <w:tr>
        <w:trPr/>
        <w:tc>
          <w:tcPr>
            <w:tcW w:w="170" w:type="dxa"/>
            <w:tcBorders/>
            <w:vAlign w:val="center"/>
          </w:tcPr>
          <w:p>
            <w:pPr>
              <w:pStyle w:val="TableContents"/>
              <w:bidi w:val="0"/>
              <w:spacing w:before="0" w:after="283"/>
              <w:jc w:val="both"/>
              <w:rPr/>
            </w:pPr>
            <w:r>
              <w:rPr/>
              <w:t> </w:t>
            </w:r>
          </w:p>
        </w:tc>
        <w:tc>
          <w:tcPr>
            <w:tcW w:w="290"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97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Demand for natural gas-fueled backup generators growing as homes and businesses desire cleaner-burning fuel sources of generation. </w:t>
            </w:r>
          </w:p>
        </w:tc>
      </w:tr>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Required investment in global infrastructure, driving demand for our products: </w:t>
            </w:r>
          </w:p>
        </w:tc>
      </w:tr>
      <w:tr>
        <w:trPr/>
        <w:tc>
          <w:tcPr>
            <w:tcW w:w="170" w:type="dxa"/>
            <w:tcBorders/>
            <w:vAlign w:val="center"/>
          </w:tcPr>
          <w:p>
            <w:pPr>
              <w:pStyle w:val="TableContents"/>
              <w:bidi w:val="0"/>
              <w:spacing w:before="0" w:after="283"/>
              <w:jc w:val="both"/>
              <w:rPr/>
            </w:pPr>
            <w:r>
              <w:rPr/>
              <w:t> </w:t>
            </w:r>
          </w:p>
        </w:tc>
        <w:tc>
          <w:tcPr>
            <w:tcW w:w="290"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9745" w:type="dxa"/>
            <w:tcBorders/>
            <w:vAlign w:val="center"/>
          </w:tcPr>
          <w:p>
            <w:pPr>
              <w:pStyle w:val="TableContents"/>
              <w:bidi w:val="0"/>
              <w:spacing w:before="0" w:after="283"/>
              <w:jc w:val="both"/>
              <w:rPr/>
            </w:pPr>
            <w:r>
              <w:rPr/>
              <w:t>Upgrading of aging and underinvested legacy infrastructure systems, such as energy production, telecommunications, transportation, and data centers. </w:t>
            </w:r>
          </w:p>
        </w:tc>
      </w:tr>
      <w:tr>
        <w:trPr/>
        <w:tc>
          <w:tcPr>
            <w:tcW w:w="170" w:type="dxa"/>
            <w:tcBorders/>
            <w:vAlign w:val="center"/>
          </w:tcPr>
          <w:p>
            <w:pPr>
              <w:pStyle w:val="TableContents"/>
              <w:bidi w:val="0"/>
              <w:spacing w:before="0" w:after="283"/>
              <w:jc w:val="both"/>
              <w:rPr/>
            </w:pPr>
            <w:r>
              <w:rPr/>
              <w:t> </w:t>
            </w:r>
          </w:p>
        </w:tc>
        <w:tc>
          <w:tcPr>
            <w:tcW w:w="290"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97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Expanding investment for increasingly critical technology infrastructure as we transition to a more "connected" society. </w:t>
            </w:r>
          </w:p>
        </w:tc>
      </w:tr>
    </w:tbl>
    <w:p>
      <w:pPr>
        <w:pStyle w:val="TextBody"/>
        <w:bidi w:val="0"/>
        <w:spacing w:before="0" w:after="0"/>
        <w:ind w:left="0" w:right="0" w:hanging="0"/>
        <w:jc w:val="both"/>
        <w:rPr/>
      </w:pPr>
      <w:r>
        <w:rPr/>
        <w:t> </w:t>
      </w:r>
    </w:p>
    <w:p>
      <w:pPr>
        <w:pStyle w:val="TextBody"/>
        <w:bidi w:val="0"/>
        <w:jc w:val="left"/>
        <w:rPr>
          <w:rFonts w:ascii="Times New Roman" w:hAnsi="Times New Roman"/>
          <w:caps w:val="false"/>
          <w:smallCaps w:val="false"/>
          <w:sz w:val="20"/>
        </w:rPr>
      </w:pPr>
      <w:r>
        <w:rPr>
          <w:rFonts w:ascii="Times New Roman" w:hAnsi="Times New Roman"/>
          <w:b/>
          <w:i/>
          <w:caps w:val="false"/>
          <w:smallCaps w:val="false"/>
          <w:color w:val="000000"/>
          <w:sz w:val="20"/>
        </w:rPr>
        <w:t>Strategic Growth Themes:</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Power quality issues continue to increase</w:t>
      </w:r>
      <w:r>
        <w:rPr>
          <w:rFonts w:ascii="Times New Roman" w:hAnsi="Times New Roman"/>
          <w:caps w:val="false"/>
          <w:smallCaps w:val="false"/>
          <w:sz w:val="20"/>
        </w:rPr>
        <w:t>. Power disruptions are an important driver of consumer awareness for backup power and have historically influenced demand for generators both in the United States and internationally. Increased frequency and duration of major power outage events, that have a broader impact beyond a localized level, increases product awareness and may drive consumers to accelerate their purchase of a standby or portable generator during the immediate and subsequent period. Energy storage systems offer similar resiliency advantages to consumers (at least for short duration power outages and for limited circuits) and demand for these products can benefit from these same awareness drivers. The optional standby market for C&amp;I power generation is also driven by power quality issues and the related need for backup power.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impact of climate change has received increased global focus in recent years, and an aging and under-invested electrical grid infrastructure remains highly vulnerable to potentially more severe and volatile weather. Additionally, growth in renewable power sources (such as solar and wind) is resulting in increased intermittency of supply as traditional thermal generation assets are retired, further impairing the reliable supply of electricity. At the same time, power demand is expected to meaningfully accelerate due to (i) the rapid adoption of artificial intelligence and related data center energy requirements, (ii) the re-industrialization of North America, and (iii) the electrification of a wide range of consumer and commercial products, including transportation, HVAC systems, and other major appliances. These developments are causing a growing supply/demand imbalance for grid operators across the world, which has led to high-profile examples of rolling blackouts and calls for utility customers to reduce consumption to maintain grid integrity. In fact, the North American Electric Reliability Corporation has labeled significant portions of the United States and Canada as being at high or elevated risk of resource adequacy shortfalls in the 2025-2029 period due in part to these supply/demand dynamics. We believe utility supply shortfalls and related warnings may continue in the future, resulting in further power quality issues for the world’s electrical grid. Finally, certain utilities are adopting preventative power shutoff policies to reduce the risk of wildfires caused by their electrical distribution equipment, predominately in the western part of the United States. Taken together, we expect these factors to continue driving increased awareness of the need for backup power for homes and businesses which will continue to create demand for Generac’s products across the portfolio.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Home standby penetration opportunity is significant</w:t>
      </w:r>
      <w:r>
        <w:rPr>
          <w:rFonts w:ascii="Times New Roman" w:hAnsi="Times New Roman"/>
          <w:caps w:val="false"/>
          <w:smallCaps w:val="false"/>
          <w:sz w:val="20"/>
        </w:rPr>
        <w:t>. Many potential customers are still not aware of the costs and benefits of automatic backup power solutions. With only approximately 6.75% penetration of the addressable market of homes in the United States (which we define as single-family detached, owner-occupied households with a home value of over $175,000, as defined by the U.S. Census Bureau's 2023 American Housing Survey for the United States), we believe there are significant opportunities to further penetrate the residential standby generator market both domestically and internationally. In addition to the mega-trends supporting growth of the category, we believe by expanding and developing our distribution network, continuing to invest in new product lines and technologies, and optimizing our marketing efforts, we can continue to build awareness and increase penetration for our home standby generators.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Substantial capital investments in new data centers and accelerating adoption of artificial intelligence.</w:t>
      </w:r>
      <w:r>
        <w:rPr>
          <w:rFonts w:ascii="Times New Roman" w:hAnsi="Times New Roman"/>
          <w:caps w:val="false"/>
          <w:smallCaps w:val="false"/>
          <w:sz w:val="20"/>
        </w:rPr>
        <w:t xml:space="preserve"> As a result of the development of artificial intelligence and the expected benefits of this technology, there is significant capital investment being made to build out data center infrastructure, which is expected to further accelerate adoption of artificial intelligence capabilities. Backup power solutions are a necessary part of this substantial investment in data centers. Given the significant power requirements and the mission-critical nature of these data centers, demand for large backup power generators is expected to grow at a dramatic rate for the foreseeable future. Due to all of these factors, the market for large-megawatt backup generators has become significantly supply-constrained. This presents a very large incremental opportunity for our recently introduced large-megawatt diesel generator offering. As we continue to ramp our capacity and capabilities for large megawatt generators, we believe that we are well positioned to take share in this market over time given (i) our long-standing historical focus on backup power generation, (ii) our global presence in markets around the world, (iii) our ability to provide customized product solutions via our extensive sales, engineering, and project management resources, and (iv) our robust aftermarket support through a combination of direct service teams and our global service network provided by our industrial distributor partners. Given the scale and mission-critical nature of these applications, this level of support is necessary to capture market share and serve these customers. Additionally, we believe these large data center power loads will contribute to the growing supply/demand imbalance across the broader electrical grid, resulting in continued power quality issues and increased demand for backup power solutions for all homes and businesses. Finally, we believe the significant growth in data center power consumption will cause higher power prices, driving growth in the market for solar, storage, and intelligent energy management solutions.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Increasingly critical nature and growing power consumption of digital infrastructure</w:t>
      </w:r>
      <w:r>
        <w:rPr>
          <w:rFonts w:ascii="Times New Roman" w:hAnsi="Times New Roman"/>
          <w:caps w:val="false"/>
          <w:smallCaps w:val="false"/>
          <w:sz w:val="20"/>
        </w:rPr>
        <w:t>. As the number of “connected” devices continues to rapidly increase and wireless networks are considered critical infrastructure in the United States, network reliability and up-time are necessary for our increasingly connected society. This will require highly resilient cell tower sites across the network, and therefore, necessitates the need for backup power sources on site at these cell towers. Generac is the leading supplier of backup power to the telecommunications market in the United States. As more mission-critical data is transmitted over wireless networks, we believe the penetration rate of backup generators on cell towers must increase considerably to maintain a higher level of reliability across the network. We have relationships with key Tier 1 carriers and tower companies globally, in addition to having distribution partners to provide local service support to the global market. We believe these factors coupled with Generac’s ability to customize solutions to each customer’s needs help us to maintain our strength within the global telecommunications market.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Natural gas generators, a continuing growth opportunity</w:t>
      </w:r>
      <w:r>
        <w:rPr>
          <w:rFonts w:ascii="Times New Roman" w:hAnsi="Times New Roman"/>
          <w:caps w:val="false"/>
          <w:smallCaps w:val="false"/>
          <w:sz w:val="20"/>
        </w:rPr>
        <w:t>. We believe natural gas will continue to be an important and cleaner transition fuel of the future, compared to diesel, as the world continues to shift towards lower emission power generation sources. Demand for natural gas generators continues to represent an increasing portion of many C&amp;I end markets, as the benefits of natural gas power generation are very compelling relative to traditional diesel fueled generators for certain end users. We also continue to explore and expand our capabilities within new gaseous generator market opportunities, including continuous-duty, prime rated, distributed generation, demand response, microgrids, and overall use as a Distributed Energy Resource (DER) in areas where grid stability is needed. Many of these applications are made possible by our natural gas generators having the capability to participate in available grid services programs, helping to offset the purchase price of the equipment over the product’s lifespan. Expanding our natural gas product offering into larger power nodes is another way that we are increasing the addressable market for natural gas generators. As a leader in natural gas power generation, we believe we are well positioned to capitalize on this strategic growth theme.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Solar, storage, and energy management markets will continue to develop despite phasing out of government subsidies and incentives. </w:t>
      </w:r>
      <w:r>
        <w:rPr>
          <w:rFonts w:ascii="Times New Roman" w:hAnsi="Times New Roman"/>
          <w:caps w:val="false"/>
          <w:smallCaps w:val="false"/>
          <w:sz w:val="20"/>
        </w:rPr>
        <w:t>We believe the electric utility landscape will undergo significant changes in the decade ahead due to accelerating demand growth, grid instability and power quality issues, environmental concerns, permitting challenges, and the continuing performance and cost improvements in renewable energy and energy storage technologies. Importantly, we expect that a confluence of factors will continue to drive power prices meaningfully higher in the future. As a result, on-site power generation from renewable sources and cleaner-burning natural gas generators are projected to become more prevalent as will the need to monitor, manage, and store this power – potentially developing into a significant market opportunity as utility customers seek alternative solutions to combat rising power prices. In addition, battery storage can also provide customers with another source of power resiliency for shorter duration outages.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Solar and storage markets have historically been supported by subsidies and investment tax credits for consumers and businesses to help advance the adoption of clean energy technologies. Further, production tax credits are being offered to businesses that meet certain domestic manufacturing requirements in the production of renewable energy products. On July 4, 2025, the United States signed into law the One Big Beautiful Bill Act (OBBBA). The OBBBA accelerates the phase-out of tax incentives for the solar market and includes certain domestic supply chain requirements to qualify for these incentives. While this phase-out of tax incentives will negatively impact the solar and storage markets in the near term, we believe the overall mega-trends that drive the solar, storage, and energy management markets will continue and provide sufficient incentive for long-term, value-creating investments for market participants in this space. Given the significant long-term market opportunity, we believe it is important to build out our capabilities in energy technology and continue to develop our residential ecosystem of products and solutions. In addition, we plan to leverage our strong competencies in the residential standby generator market to increase our market position in the residential solar, storage, and energy management markets.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Other Business Drivers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Impact of residential investment cycle.</w:t>
      </w:r>
      <w:r>
        <w:rPr>
          <w:rFonts w:ascii="Times New Roman" w:hAnsi="Times New Roman"/>
          <w:caps w:val="false"/>
          <w:smallCaps w:val="false"/>
          <w:sz w:val="20"/>
        </w:rPr>
        <w:t> The market for our residential products is affected by the residential investment cycle and overall consumer confidence and sentiment. When homeowners are confident of their household income, the value of their home and overall net worth, they are more likely to invest in their home. These trends can have an impact on demand for residential generators, solar and energy storage systems, and energy management devices. Trends in affordability, interest rates and the new housing market, highlighted by residential housing starts, can also impact demand for these products. Demand for outdoor power equipment is also impacted by several of these factors, as well as weather patterns. The existence of renewable energy mandates, investment tax credits, and other subsidies can also have an impact on the demand for solar and energy storage systems. The OBBBA that was enacted in the United States in July 2025 accelerated the phase out of certain investment tax credits, resulting in a negative impact to the residential solar &amp; storage market thereafter.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Impact of business capital investment and other economic cycles.</w:t>
      </w:r>
      <w:r>
        <w:rPr>
          <w:rFonts w:ascii="Times New Roman" w:hAnsi="Times New Roman"/>
          <w:caps w:val="false"/>
          <w:smallCaps w:val="false"/>
          <w:sz w:val="20"/>
        </w:rPr>
        <w:t> The global market for our C&amp;I products is affected by different capital investment cycles, which can vary widely across the different regions and markets that we serve. These cycles include non-residential building construction, durable goods and infrastructure spending, as well as investments in the exploration and production of oil &amp; gas, as businesses or organizations either add new locations or make investments to upgrade existing locations or equipment. These trends and market conditions can have a material impact on demand for our products. The capital investment cycle may differ for the various C&amp;I end markets that we serve, including data centers, light commercial, retail, office, telecommunications, rental, industrial, healthcare, construction, oil &amp; gas and municipal infrastructure, among others. The market for these products is also affected by general economic conditions around the world, fluctuations in interest rates &amp; foreign currencies, trade policies, and geopolitical matters and conflicts in the various countries where we serve, as well as credit availability in those regions.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olor w:val="000000"/>
          <w:sz w:val="20"/>
        </w:rPr>
      </w:pPr>
      <w:r>
        <w:rPr>
          <w:rFonts w:ascii="Times New Roman;Times;serif" w:hAnsi="Times New Roman;Times;serif"/>
          <w:b/>
          <w:i/>
          <w:color w:val="000000"/>
          <w:sz w:val="20"/>
        </w:rPr>
        <w:t>Factors Affecting</w:t>
      </w:r>
      <w:r>
        <w:rPr>
          <w:rFonts w:ascii="Times New Roman;Times;serif" w:hAnsi="Times New Roman;Times;serif"/>
          <w:color w:val="000000"/>
          <w:sz w:val="20"/>
        </w:rPr>
        <w:t xml:space="preserve"> </w:t>
      </w:r>
      <w:r>
        <w:rPr>
          <w:rFonts w:ascii="Times New Roman;Times;serif" w:hAnsi="Times New Roman;Times;serif"/>
          <w:b/>
          <w:i/>
          <w:color w:val="000000"/>
          <w:sz w:val="20"/>
        </w:rPr>
        <w:t>Results of Operations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subject to various factors that can affect our results of operations, which we attempt to mitigate through factors we can control, including continued product development, expanded distribution, pricing, cost control, and hedging. Certain operational and other factors that affect our business include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Effect of commodity, currency, component price fluctuations, and resource availability.</w:t>
      </w:r>
      <w:r>
        <w:rPr>
          <w:rFonts w:ascii="Times New Roman" w:hAnsi="Times New Roman"/>
          <w:caps w:val="false"/>
          <w:smallCaps w:val="false"/>
          <w:sz w:val="20"/>
        </w:rPr>
        <w:t> Industry-wide price fluctuations of key commodities, such as steel, copper and aluminum, along with other components we use in our products, as well as changes in labor costs required to produce our products, can have a material impact on our results of operations. In recent years, we have increased our use of advanced electronic components and battery cells that can fluctuate in terms of pricing and availability. Our international operations, along with our existing global supply chain, expose us to fluctuations in foreign currency exchange rates and regulatory tariffs that can also have a material impact on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Commodity, currency, and component price levels are increasingly subject to geopolitical uncertainty, including ongoing regional conflicts, shifts in U.S. and international trade policies, and the potential for new or increased tariffs. These factors, along with increased demand from data centers, have contributed to heightened volatility in commodity prices, particularly for raw materials such as steel, copper, and aluminum. Additionally, geopolitical instability can contribute to significant fluctuations in foreign currency exchange rates which can impact our reported financial performance from our foreign operations and supply chain.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historically attempted to mitigate the impact of any inflationary pressures through improved product design and sourcing, manufacturing efficiencies, price increases, and select hedging transactions. Our results are also influenced by changes in fuel prices in the form of freight rates, which in some cases are accepted by our customers and in other cases are paid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Tariffs and international trade relations.</w:t>
      </w:r>
      <w:r>
        <w:rPr>
          <w:rFonts w:ascii="Times New Roman" w:hAnsi="Times New Roman"/>
          <w:caps w:val="false"/>
          <w:smallCaps w:val="false"/>
          <w:sz w:val="20"/>
        </w:rPr>
        <w:t xml:space="preserve"> Given our global supply chain and international operations, our business is impacted by tariffs and other changes in U.S. trade policy and international trade relations. For example, starting in the first quarter of 2025, the United States government enacted additional tariffs on goods imported into the U.S. from numerous countries, and certain countries announced tariffs on U.S. goods. Some of these tariffs have been subsequently modified or delayed, and the U.S. government has also stated it is willing to negotiate with respect to the tariffs it has enacted.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implemented price increases across many of our product offerings and are executing a number of supply chain initiatives to attempt to mitigate the impact of these tariffs on our profitability. Despite our efforts, these tariff actions and resulting price increases have created inflationary pressures for consumers, negatively impacting demand and margins for certain of our products. As U.S. trade policy continues to evolve, we will continue to evaluate the impact of future tariffs and take actions to mitigate and/or minimize their effects.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February 20, 2026, the U.S. Supreme Court issued a decision invalidating tariffs imposed under the IEEPA and allowing for the recovery of IEEPA tariff amounts previously paid.  During the three and six months ended June 30, 2026, we received tariff refunds totaling approximately $61 million.  Additionally, we established a tariff refund receivable of approximately $28 million, for which we have deemed receipt probable of occurring. Approximately $71 million of this tariff recovery reduced our second quarter 2026 cost of goods sold with the remainder reflected in inventory.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Seasonality. </w:t>
      </w:r>
      <w:r>
        <w:rPr>
          <w:rFonts w:ascii="Times New Roman" w:hAnsi="Times New Roman"/>
          <w:caps w:val="false"/>
          <w:smallCaps w:val="false"/>
          <w:sz w:val="20"/>
        </w:rPr>
        <w:t>Although there is demand for our products throughout the year, in each of the past five years, approximately 20% to 25% of our net sales occurred in the first quarter, 23% to 28% in the second quarter, 24% to 27% in the third quarter, and 23% to 29% in the fourth quarter, with different seasonality depending primarily on the occurrence, timing and severity of power outage activity in each year. Major outage activity is unpredictable by nature and, as a result, our sales levels and profitability may fluctuate from period to period. The seasonality experienced during a major power outage, and for the subsequent quarters following the event, will vary relative to other periods where no major outage events occurred. The second half of 2025 represented a very low level of baseline power outage activity, impacting demand for our residential products and resulting in quarterly net sales being more evenly distributed compared to our historical averages.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Acquisitions.</w:t>
      </w:r>
      <w:r>
        <w:rPr>
          <w:rFonts w:ascii="Times New Roman" w:hAnsi="Times New Roman"/>
          <w:caps w:val="false"/>
          <w:smallCaps w:val="false"/>
          <w:sz w:val="20"/>
        </w:rPr>
        <w:t>   Over the years, we have executed a number of acquisitions that support our strategic plan. A summary of the recent acquisitions can be found in Note 1, “Description of Business and Basis of Presentation,” to the condensed consolidated financial statements in Item 1 of this Quarterly Report on Form 10-Q and in Item 8 (Note 1, “Description of Business”) of the Annual Report on Form 10-K for the year ended December 31, 2025.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Factors Influencing Interest Expense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Interest expense can be impacted by a variety of factors, including market fluctuations in SOFR, interest rate election periods, interest rate swap agreements, repayments or borrowings of indebtedness, and amendments to our credit agreements. Refer to Note 12, “Credit Agreements,” to the condensed consolidated financial statements included in Item 1 of this Quarterly Report on Form 10-Q for further information. The year-over-year decrease in interest expense in the current period was primarily driven by lower borrowings and lower interest rates compared to the prior year period.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1, 2025, we amended our Term Loan A Facility and Revolving Credit Facility, extending the maturity of both to July 1, 2030, revising the Term Loan A Facility outstanding principal balance to $700,000, reducing the Revolving Credit Facility borrowing capacity to $1,000,000, and redefining the Term Benchmark to replace the Adjusted Term SOFR Rate with the Term SOFR Rate, resulting in an interest rate reduction of 0.10%.</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Factors Influencing Provision for Income Taxes and Cash Income Taxes Paid</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effective income tax rates for the six months ended June 30, 2026 and 2025 were 24.6% and 20.0%, respectively. The increase in effective tax rate was primarily related to a non-recurring favorable discrete item in the prior year period related to a business disposition that did not repeat in the current 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4, 2025, the United States signed the OBBBA into law. This legislation makes permanent several key provisions of the Tax Cuts and Jobs Act, including 100% bonus depreciation and the immediate expensing of domestic research and development costs. Under ASC 740, “Income Taxes,” the effects of changes in tax laws are reflected in the Company’s financial statements in the quarter in which the legislation was passed. We continue to expect cash tax savings from the bonus depreciation and domestic research and development expensing.   These changes did not have a material impact on our effective income tax rate for the six months ended June 30, 2026 or the estimated annual effective income tax rate for 2026 as the changes relate to temporary differences in basis.</w:t>
        <w:br/>
        <w:t> </w:t>
        <w:br/>
        <w:t>In January 2026, the Organization for Economic Cooperation and Development (OECD) released a new package of administrative guidance that effectively deems the United States tax system as compliant with Pillar Two, which is expected to eliminate additional top-up taxes across our global operations. This updated guidance package does not exempt us from Qualified Domestic Minimum Top-Up Taxes in foreign jurisdictions. As a result, we expect our cash taxes paid to remain subject to local minimum tax regimes where applicable. There was no impact to our financial results during the quarter as a result of this guidance, and we do not expect the rules to have a material impact on our effective income tax rate for the year. We continue to monitor OECD and foreign jurisdictions developments and will update our future tax provisions accordingly.</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Three</w:t>
      </w:r>
      <w:r>
        <w:rPr>
          <w:rFonts w:ascii="Times New Roman;Times;serif" w:hAnsi="Times New Roman;Times;serif"/>
          <w:sz w:val="20"/>
        </w:rPr>
        <w:t xml:space="preserve"> </w:t>
      </w:r>
      <w:r>
        <w:rPr>
          <w:rFonts w:ascii="Times New Roman;Times;serif" w:hAnsi="Times New Roman;Times;serif"/>
          <w:b/>
          <w:i/>
          <w:sz w:val="20"/>
        </w:rPr>
        <w:t xml:space="preserve">months ended </w:t>
      </w:r>
      <w:r>
        <w:rPr>
          <w:rFonts w:ascii="Times New Roman;Times;serif" w:hAnsi="Times New Roman;Times;serif"/>
          <w:i/>
          <w:sz w:val="20"/>
        </w:rPr>
        <w:t>June 30, 2026</w:t>
      </w:r>
      <w:r>
        <w:rPr>
          <w:rFonts w:ascii="Times New Roman;Times;serif" w:hAnsi="Times New Roman;Times;serif"/>
          <w:b/>
          <w:i/>
          <w:sz w:val="20"/>
        </w:rPr>
        <w:t>,</w:t>
      </w:r>
      <w:r>
        <w:rPr>
          <w:rFonts w:ascii="Times New Roman;Times;serif" w:hAnsi="Times New Roman;Times;serif"/>
          <w:i/>
          <w:sz w:val="20"/>
        </w:rPr>
        <w:t> </w:t>
      </w:r>
      <w:r>
        <w:rPr>
          <w:rFonts w:ascii="Times New Roman;Times;serif" w:hAnsi="Times New Roman;Times;serif"/>
          <w:b/>
          <w:i/>
          <w:sz w:val="20"/>
        </w:rPr>
        <w:t>compared to the three months ended</w:t>
      </w:r>
      <w:r>
        <w:rPr>
          <w:rFonts w:ascii="Times New Roman;Times;serif" w:hAnsi="Times New Roman;Times;serif"/>
          <w:sz w:val="20"/>
        </w:rPr>
        <w:t xml:space="preserve"> </w:t>
      </w:r>
      <w:r>
        <w:rPr>
          <w:rFonts w:ascii="Times New Roman;Times;serif" w:hAnsi="Times New Roman;Times;serif"/>
          <w:b/>
          <w:i/>
          <w:sz w:val="20"/>
        </w:rPr>
        <w:t>June 30, 2025</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our consolidated statements of operations information for the periods indicated:</w:t>
      </w:r>
    </w:p>
    <w:p>
      <w:pPr>
        <w:pStyle w:val="TextBody"/>
        <w:bidi w:val="0"/>
        <w:spacing w:before="0" w:after="0"/>
        <w:ind w:left="0" w:right="0" w:hanging="0"/>
        <w:jc w:val="left"/>
        <w:rPr/>
      </w:pPr>
      <w:r>
        <w:rPr/>
        <w:t> </w:t>
      </w:r>
    </w:p>
    <w:tbl>
      <w:tblPr>
        <w:tblW w:w="9411" w:type="dxa"/>
        <w:jc w:val="left"/>
        <w:tblInd w:w="0" w:type="dxa"/>
        <w:tblLayout w:type="fixed"/>
        <w:tblCellMar>
          <w:top w:w="0" w:type="dxa"/>
          <w:left w:w="0" w:type="dxa"/>
          <w:bottom w:w="0" w:type="dxa"/>
          <w:right w:w="0" w:type="dxa"/>
        </w:tblCellMar>
      </w:tblPr>
      <w:tblGrid>
        <w:gridCol w:w="4625"/>
        <w:gridCol w:w="60"/>
        <w:gridCol w:w="152"/>
        <w:gridCol w:w="1031"/>
        <w:gridCol w:w="97"/>
        <w:gridCol w:w="73"/>
        <w:gridCol w:w="152"/>
        <w:gridCol w:w="1031"/>
        <w:gridCol w:w="80"/>
        <w:gridCol w:w="60"/>
        <w:gridCol w:w="125"/>
        <w:gridCol w:w="695"/>
        <w:gridCol w:w="80"/>
        <w:gridCol w:w="60"/>
        <w:gridCol w:w="89"/>
        <w:gridCol w:w="816"/>
        <w:gridCol w:w="185"/>
      </w:tblGrid>
      <w:tr>
        <w:trPr/>
        <w:tc>
          <w:tcPr>
            <w:tcW w:w="46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(U.S. 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1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11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185" w:type="dxa"/>
            <w:tcBorders/>
            <w:shd w:fill="FFFF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1,173,510</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1,061,169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112,341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Costs of goods sold</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651,699</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644,420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10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521,811</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10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416,749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105,062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25.2</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Selling and service</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10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141,627</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10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139,495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2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10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65,781</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10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60,354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2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10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73,155</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10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79,430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(6,275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2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30,815</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25,681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311,378</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304,960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from operations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10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210,433</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10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111,789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98,644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88.2</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other expense, net</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(20,727</w:t>
            </w:r>
          </w:p>
        </w:tc>
        <w:tc>
          <w:tcPr>
            <w:tcW w:w="9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3"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(21,937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before provision for income taxes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10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189,706</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10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89,852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99,854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Provision for income taxes</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46,696</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31,274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202.8</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10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143,010</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10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74,430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68,580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 income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(234</w:t>
            </w:r>
          </w:p>
        </w:tc>
        <w:tc>
          <w:tcPr>
            <w:tcW w:w="9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3"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-156.5</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6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income attributable to Generac Holdings Inc.</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143,244</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74,016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69,228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93.5</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25, 2026, we announced our plan to reorganize our two reportable segments to better align the organization and our reporting with our enterprise strategy, effective March 31, 2026 (the Reorganization).  Prior to the Reorganization, our reportable segments were Domestic and International.  As a result of the Reorganization, our new reportable segments are Residential and C&amp;I. The Residential segment consists of the former Domestic segment, excluding the domestic C&amp;I operations.  The C&amp;I segment consists of the operations of the former International segment with the addition of the domestic C&amp;I operations.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Segment financial information for the prior periods has been recast to conform to the current presentation.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tables set forth our reportable segment information for the periods indicated:</w:t>
        <w:br/>
        <w:t>  </w:t>
      </w:r>
    </w:p>
    <w:tbl>
      <w:tblPr>
        <w:tblW w:w="7006" w:type="dxa"/>
        <w:jc w:val="left"/>
        <w:tblInd w:w="0" w:type="dxa"/>
        <w:tblLayout w:type="fixed"/>
        <w:tblCellMar>
          <w:top w:w="0" w:type="dxa"/>
          <w:left w:w="0" w:type="dxa"/>
          <w:bottom w:w="0" w:type="dxa"/>
          <w:right w:w="0" w:type="dxa"/>
        </w:tblCellMar>
      </w:tblPr>
      <w:tblGrid>
        <w:gridCol w:w="2240"/>
        <w:gridCol w:w="60"/>
        <w:gridCol w:w="154"/>
        <w:gridCol w:w="1041"/>
        <w:gridCol w:w="73"/>
        <w:gridCol w:w="73"/>
        <w:gridCol w:w="154"/>
        <w:gridCol w:w="1041"/>
        <w:gridCol w:w="60"/>
        <w:gridCol w:w="60"/>
        <w:gridCol w:w="125"/>
        <w:gridCol w:w="695"/>
        <w:gridCol w:w="80"/>
        <w:gridCol w:w="60"/>
        <w:gridCol w:w="123"/>
        <w:gridCol w:w="782"/>
        <w:gridCol w:w="185"/>
      </w:tblGrid>
      <w:tr>
        <w:trPr/>
        <w:tc>
          <w:tcPr>
            <w:tcW w:w="2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Net Sales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(U.S. 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1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11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Change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Change</w:t>
            </w:r>
          </w:p>
        </w:tc>
        <w:tc>
          <w:tcPr>
            <w:tcW w:w="185" w:type="dxa"/>
            <w:tcBorders/>
            <w:shd w:fill="FFFF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617,022</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630,594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(13,572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7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&amp; Industrial</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556,488</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430,575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125,913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4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Total 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1,173,510</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1,061,169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112,341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819"/>
        <w:gridCol w:w="60"/>
        <w:gridCol w:w="173"/>
        <w:gridCol w:w="1181"/>
        <w:gridCol w:w="61"/>
        <w:gridCol w:w="61"/>
        <w:gridCol w:w="266"/>
        <w:gridCol w:w="1167"/>
        <w:gridCol w:w="81"/>
        <w:gridCol w:w="61"/>
        <w:gridCol w:w="128"/>
        <w:gridCol w:w="869"/>
        <w:gridCol w:w="80"/>
        <w:gridCol w:w="60"/>
        <w:gridCol w:w="173"/>
        <w:gridCol w:w="1181"/>
        <w:gridCol w:w="61"/>
        <w:gridCol w:w="61"/>
        <w:gridCol w:w="266"/>
        <w:gridCol w:w="1167"/>
        <w:gridCol w:w="81"/>
        <w:gridCol w:w="61"/>
        <w:gridCol w:w="128"/>
        <w:gridCol w:w="869"/>
        <w:gridCol w:w="90"/>
      </w:tblGrid>
      <w:tr>
        <w:trPr/>
        <w:tc>
          <w:tcPr>
            <w:tcW w:w="18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36"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 Sales by Reportable Segment</w:t>
            </w:r>
          </w:p>
        </w:tc>
        <w:tc>
          <w:tcPr>
            <w:tcW w:w="90" w:type="dxa"/>
            <w:tcBorders/>
            <w:shd w:fill="FFFFFF" w:val="clear"/>
            <w:vAlign w:val="center"/>
          </w:tcPr>
          <w:p>
            <w:pPr>
              <w:pStyle w:val="TableContents"/>
              <w:bidi w:val="0"/>
              <w:spacing w:before="0" w:after="283"/>
              <w:jc w:val="left"/>
              <w:rPr/>
            </w:pPr>
            <w:r>
              <w:rPr/>
              <w:t> </w:t>
            </w:r>
          </w:p>
        </w:tc>
      </w:tr>
      <w:tr>
        <w:trPr/>
        <w:tc>
          <w:tcPr>
            <w:tcW w:w="18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48"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48"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 2025</w:t>
            </w:r>
          </w:p>
        </w:tc>
        <w:tc>
          <w:tcPr>
            <w:tcW w:w="90" w:type="dxa"/>
            <w:tcBorders/>
            <w:shd w:fill="FFFFFF" w:val="clear"/>
            <w:vAlign w:val="center"/>
          </w:tcPr>
          <w:p>
            <w:pPr>
              <w:pStyle w:val="TableContents"/>
              <w:bidi w:val="0"/>
              <w:spacing w:before="0" w:after="283"/>
              <w:jc w:val="left"/>
              <w:rPr/>
            </w:pPr>
            <w:r>
              <w:rPr/>
              <w:t> </w:t>
            </w:r>
          </w:p>
        </w:tc>
      </w:tr>
      <w:tr>
        <w:trPr/>
        <w:tc>
          <w:tcPr>
            <w:tcW w:w="18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External Net Sales</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4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Intersegment Sales</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99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 Sales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External Net Sales</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4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Intersegment Sales</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99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 Sales</w:t>
            </w:r>
          </w:p>
        </w:tc>
        <w:tc>
          <w:tcPr>
            <w:tcW w:w="90" w:type="dxa"/>
            <w:tcBorders/>
            <w:shd w:fill="FFFFFF" w:val="clear"/>
            <w:vAlign w:val="center"/>
          </w:tcPr>
          <w:p>
            <w:pPr>
              <w:pStyle w:val="TableContents"/>
              <w:bidi w:val="0"/>
              <w:spacing w:before="0" w:after="283"/>
              <w:jc w:val="left"/>
              <w:rPr/>
            </w:pPr>
            <w:r>
              <w:rPr/>
              <w:t> </w:t>
            </w:r>
          </w:p>
        </w:tc>
      </w:tr>
      <w:tr>
        <w:trPr/>
        <w:tc>
          <w:tcPr>
            <w:tcW w:w="181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Residential</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8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617,022</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6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4,241</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6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621,263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8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630,594</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6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4,124</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6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634,718</w:t>
            </w:r>
          </w:p>
        </w:tc>
        <w:tc>
          <w:tcPr>
            <w:tcW w:w="90" w:type="dxa"/>
            <w:tcBorders/>
            <w:shd w:fill="CCEEFF" w:val="clear"/>
            <w:vAlign w:val="center"/>
          </w:tcPr>
          <w:p>
            <w:pPr>
              <w:pStyle w:val="TableContents"/>
              <w:bidi w:val="0"/>
              <w:spacing w:before="0" w:after="283"/>
              <w:jc w:val="left"/>
              <w:rPr/>
            </w:pPr>
            <w:r>
              <w:rPr/>
              <w:t> </w:t>
            </w:r>
          </w:p>
        </w:tc>
      </w:tr>
      <w:tr>
        <w:trPr/>
        <w:tc>
          <w:tcPr>
            <w:tcW w:w="181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Commercial &amp; Industrial</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556,488</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556,490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430,575</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430,575</w:t>
            </w:r>
          </w:p>
        </w:tc>
        <w:tc>
          <w:tcPr>
            <w:tcW w:w="90" w:type="dxa"/>
            <w:tcBorders/>
            <w:shd w:fill="FFFFFF" w:val="clear"/>
            <w:vAlign w:val="center"/>
          </w:tcPr>
          <w:p>
            <w:pPr>
              <w:pStyle w:val="TableContents"/>
              <w:bidi w:val="0"/>
              <w:spacing w:before="0" w:after="283"/>
              <w:ind w:left="0" w:right="0" w:hanging="0"/>
              <w:jc w:val="left"/>
              <w:rPr/>
            </w:pPr>
            <w:r>
              <w:rPr/>
              <w:t> </w:t>
            </w:r>
          </w:p>
        </w:tc>
      </w:tr>
      <w:tr>
        <w:trPr/>
        <w:tc>
          <w:tcPr>
            <w:tcW w:w="181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Intercompany eliminations</w:t>
            </w:r>
          </w:p>
        </w:tc>
        <w:tc>
          <w:tcPr>
            <w:tcW w:w="60" w:type="dxa"/>
            <w:tcBorders/>
            <w:shd w:fill="CCEEFF" w:val="clear"/>
            <w:vAlign w:val="center"/>
          </w:tcPr>
          <w:p>
            <w:pPr>
              <w:pStyle w:val="TableContents"/>
              <w:bidi w:val="0"/>
              <w:spacing w:before="0" w:after="0"/>
              <w:ind w:left="0" w:right="0" w:hanging="0"/>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61" w:type="dxa"/>
            <w:tcBorders/>
            <w:shd w:fill="CCEEFF" w:val="clear"/>
            <w:vAlign w:val="center"/>
          </w:tcPr>
          <w:p>
            <w:pPr>
              <w:pStyle w:val="TableContents"/>
              <w:bidi w:val="0"/>
              <w:spacing w:before="0" w:after="0"/>
              <w:ind w:left="0" w:right="0" w:hanging="0"/>
              <w:jc w:val="left"/>
              <w:rPr/>
            </w:pPr>
            <w:r>
              <w:rPr/>
              <w:t> </w:t>
            </w:r>
          </w:p>
        </w:tc>
        <w:tc>
          <w:tcPr>
            <w:tcW w:w="61" w:type="dxa"/>
            <w:tcBorders/>
            <w:shd w:fill="CCEEFF" w:val="clear"/>
            <w:vAlign w:val="center"/>
          </w:tcPr>
          <w:p>
            <w:pPr>
              <w:pStyle w:val="TableContents"/>
              <w:bidi w:val="0"/>
              <w:spacing w:before="0" w:after="0"/>
              <w:ind w:left="0" w:right="0" w:hanging="0"/>
              <w:jc w:val="left"/>
              <w:rPr/>
            </w:pPr>
            <w:r>
              <w:rPr/>
              <w:t> </w:t>
            </w:r>
          </w:p>
        </w:tc>
        <w:tc>
          <w:tcPr>
            <w:tcW w:w="2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(4,243</w:t>
            </w:r>
          </w:p>
        </w:tc>
        <w:tc>
          <w:tcPr>
            <w:tcW w:w="8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1" w:type="dxa"/>
            <w:tcBorders/>
            <w:shd w:fill="CCEEFF" w:val="clear"/>
            <w:vAlign w:val="center"/>
          </w:tcPr>
          <w:p>
            <w:pPr>
              <w:pStyle w:val="TableContents"/>
              <w:bidi w:val="0"/>
              <w:spacing w:before="0" w:after="0"/>
              <w:ind w:left="0" w:right="0" w:hanging="0"/>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(4,243</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61" w:type="dxa"/>
            <w:tcBorders/>
            <w:shd w:fill="CCEEFF" w:val="clear"/>
            <w:vAlign w:val="center"/>
          </w:tcPr>
          <w:p>
            <w:pPr>
              <w:pStyle w:val="TableContents"/>
              <w:bidi w:val="0"/>
              <w:spacing w:before="0" w:after="0"/>
              <w:ind w:left="0" w:right="0" w:hanging="0"/>
              <w:jc w:val="left"/>
              <w:rPr/>
            </w:pPr>
            <w:r>
              <w:rPr/>
              <w:t> </w:t>
            </w:r>
          </w:p>
        </w:tc>
        <w:tc>
          <w:tcPr>
            <w:tcW w:w="61" w:type="dxa"/>
            <w:tcBorders/>
            <w:shd w:fill="CCEEFF" w:val="clear"/>
            <w:vAlign w:val="center"/>
          </w:tcPr>
          <w:p>
            <w:pPr>
              <w:pStyle w:val="TableContents"/>
              <w:bidi w:val="0"/>
              <w:spacing w:before="0" w:after="0"/>
              <w:ind w:left="0" w:right="0" w:hanging="0"/>
              <w:jc w:val="left"/>
              <w:rPr/>
            </w:pPr>
            <w:r>
              <w:rPr/>
              <w:t> </w:t>
            </w:r>
          </w:p>
        </w:tc>
        <w:tc>
          <w:tcPr>
            <w:tcW w:w="2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(4,124</w:t>
            </w:r>
          </w:p>
        </w:tc>
        <w:tc>
          <w:tcPr>
            <w:tcW w:w="8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1" w:type="dxa"/>
            <w:tcBorders/>
            <w:shd w:fill="CCEEFF" w:val="clear"/>
            <w:vAlign w:val="center"/>
          </w:tcPr>
          <w:p>
            <w:pPr>
              <w:pStyle w:val="TableContents"/>
              <w:bidi w:val="0"/>
              <w:spacing w:before="0" w:after="0"/>
              <w:ind w:left="0" w:right="0" w:hanging="0"/>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(4,124</w:t>
            </w:r>
          </w:p>
        </w:tc>
        <w:tc>
          <w:tcPr>
            <w:tcW w:w="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81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net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1,173,510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26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1,173,510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1,061,169</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26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1,061,169</w:t>
            </w:r>
          </w:p>
        </w:tc>
        <w:tc>
          <w:tcPr>
            <w:tcW w:w="9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7007" w:type="dxa"/>
        <w:jc w:val="left"/>
        <w:tblInd w:w="0" w:type="dxa"/>
        <w:tblLayout w:type="fixed"/>
        <w:tblCellMar>
          <w:top w:w="0" w:type="dxa"/>
          <w:left w:w="0" w:type="dxa"/>
          <w:bottom w:w="0" w:type="dxa"/>
          <w:right w:w="0" w:type="dxa"/>
        </w:tblCellMar>
      </w:tblPr>
      <w:tblGrid>
        <w:gridCol w:w="2240"/>
        <w:gridCol w:w="60"/>
        <w:gridCol w:w="178"/>
        <w:gridCol w:w="991"/>
        <w:gridCol w:w="114"/>
        <w:gridCol w:w="85"/>
        <w:gridCol w:w="178"/>
        <w:gridCol w:w="991"/>
        <w:gridCol w:w="80"/>
        <w:gridCol w:w="60"/>
        <w:gridCol w:w="125"/>
        <w:gridCol w:w="695"/>
        <w:gridCol w:w="60"/>
        <w:gridCol w:w="60"/>
        <w:gridCol w:w="123"/>
        <w:gridCol w:w="782"/>
        <w:gridCol w:w="185"/>
      </w:tblGrid>
      <w:tr>
        <w:trPr/>
        <w:tc>
          <w:tcPr>
            <w:tcW w:w="2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Adjusted EBITDA</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11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Change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Change</w:t>
            </w:r>
          </w:p>
        </w:tc>
        <w:tc>
          <w:tcPr>
            <w:tcW w:w="185" w:type="dxa"/>
            <w:tcBorders/>
            <w:shd w:fill="FFFF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215,389</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146,424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7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&amp; Industrial</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81,484</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7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w:t>
            </w:r>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and eliminations</w:t>
            </w:r>
          </w:p>
        </w:tc>
        <w:tc>
          <w:tcPr>
            <w:tcW w:w="60" w:type="dxa"/>
            <w:tcBorders/>
            <w:shd w:fill="CCEEFF" w:val="clear"/>
            <w:vAlign w:val="center"/>
          </w:tcPr>
          <w:p>
            <w:pPr>
              <w:pStyle w:val="TableContents"/>
              <w:bidi w:val="0"/>
              <w:spacing w:before="0" w:after="0"/>
              <w:ind w:left="0" w:right="0" w:hanging="0"/>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(6,149</w:t>
            </w:r>
          </w:p>
        </w:tc>
        <w:tc>
          <w:tcPr>
            <w:tcW w:w="1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 w:type="dxa"/>
            <w:tcBorders/>
            <w:shd w:fill="CCEEFF" w:val="clear"/>
            <w:vAlign w:val="center"/>
          </w:tcPr>
          <w:p>
            <w:pPr>
              <w:pStyle w:val="TableContents"/>
              <w:bidi w:val="0"/>
              <w:spacing w:before="0" w:after="0"/>
              <w:ind w:left="0" w:right="0" w:hanging="0"/>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(12,137</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185" w:type="dxa"/>
            <w:tcBorders/>
            <w:shd w:fill="CCEEFF" w:val="clear"/>
            <w:vAlign w:val="center"/>
          </w:tcPr>
          <w:p>
            <w:pPr>
              <w:pStyle w:val="TableContents"/>
              <w:bidi w:val="0"/>
              <w:spacing w:before="0" w:after="0"/>
              <w:jc w:val="left"/>
              <w:rPr/>
            </w:pPr>
            <w:r>
              <w:rPr/>
              <w:t> </w:t>
            </w:r>
          </w:p>
        </w:tc>
      </w:tr>
      <w:tr>
        <w:trPr/>
        <w:tc>
          <w:tcPr>
            <w:tcW w:w="224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Total Adjusted EBITDA</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290,724</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187,629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103,095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Net sales.</w:t>
      </w:r>
      <w:r>
        <w:rPr>
          <w:rFonts w:ascii="Times New Roman" w:hAnsi="Times New Roman"/>
          <w:caps w:val="false"/>
          <w:smallCaps w:val="false"/>
          <w:sz w:val="20"/>
        </w:rPr>
        <w:t>   Commercial &amp; Industrial segment total sales increased approximately 29% to $556.5 million from $430.6 million in the prior year quarter, including an approximate 6% net favorable impact to sales growth from the combination of acquisitions, divestitures, and foreign currency. The core total sales growth for the segment was primarily driven by ramping revenue from products sold into the global data center market. In addition, increased shipments to rental and telecom channel customers were more than offset by a decrease in shipments to the domestic industrial distributor channel.</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Residential segment total sales decreased approximately 2% to $621.3 million as compared to $634.7 million in the prior year quarter. This modest sales decrease was primarily driven by lower energy storage system and portable generator shipments compared to the prior year, mostly offset by growth in home standby generator sales.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Overall, net contribution from non-annualized acquisitions &amp; divestitures for the second quarter of 2026 was $16.6 million, primarily in the Commercial &amp; Industrial segment.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Gross profit.</w:t>
      </w:r>
      <w:r>
        <w:rPr>
          <w:rFonts w:ascii="Times New Roman" w:hAnsi="Times New Roman"/>
          <w:caps w:val="false"/>
          <w:smallCaps w:val="false"/>
          <w:sz w:val="20"/>
        </w:rPr>
        <w:t>   Gross profit margin was 44.5% as compared to 39.3% in the prior year second quarter. The increase was primarily driven by tariff refunds which contributed approximately 6% to gross margin growth during the quarter. Additionally, unfavorable sales mix and higher input costs were partially offset by favorable price realization.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Operating Expenses.</w:t>
      </w:r>
      <w:r>
        <w:rPr>
          <w:rFonts w:ascii="Times New Roman" w:hAnsi="Times New Roman"/>
          <w:caps w:val="false"/>
          <w:smallCaps w:val="false"/>
          <w:sz w:val="20"/>
        </w:rPr>
        <w:t>   Operating expenses increased by $6.4 million, or 2%, as compared to the second quarter of 2025. The increase was primarily driven by increased operating expense investments to support future C&amp;I growth and higher intangible amortization, partially offset by lower legal expenses in the current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Other Expense.</w:t>
      </w:r>
      <w:r>
        <w:rPr>
          <w:rFonts w:ascii="Times New Roman" w:hAnsi="Times New Roman"/>
          <w:caps w:val="false"/>
          <w:smallCaps w:val="false"/>
          <w:sz w:val="20"/>
        </w:rPr>
        <w:t>   The reduction in other expense, net was driven primarily by a gain in the fair value of our investment in warrants and equity securities of Wallbox N.V as well as lower interest expense and higher investment income in the current year quarter, partially offset by the loss related to two immaterial business dispositions.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Provision for income taxes.</w:t>
      </w:r>
      <w:r>
        <w:rPr>
          <w:rFonts w:ascii="Times New Roman" w:hAnsi="Times New Roman"/>
          <w:caps w:val="false"/>
          <w:smallCaps w:val="false"/>
          <w:sz w:val="20"/>
        </w:rPr>
        <w:t>   Provision for income taxes for the current year quarter was $46.7 million, or an effective tax rate of 24.6%, as compared to $15.4 million, or a 17.2% effective tax rate, for the prior year.  The increase in the effective tax rate was primarily related to a non-recurring favorable discrete item in the prior year period related to a business disposition that did not repeat in the current year.</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Net income attributable to Generac Holdings Inc.</w:t>
      </w:r>
      <w:r>
        <w:rPr>
          <w:rFonts w:ascii="Times New Roman" w:hAnsi="Times New Roman"/>
          <w:caps w:val="false"/>
          <w:smallCaps w:val="false"/>
          <w:sz w:val="20"/>
        </w:rPr>
        <w:t>   Net income attributable to the Company during the second quarter was $143 million, or $2.40 per share, as compared to $74 million, or $1.25 per share, for the same period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Adjusted EBITDA.</w:t>
      </w:r>
      <w:r>
        <w:rPr>
          <w:rFonts w:ascii="Times New Roman" w:hAnsi="Times New Roman"/>
          <w:caps w:val="false"/>
          <w:smallCaps w:val="false"/>
          <w:sz w:val="20"/>
        </w:rPr>
        <w:t>   Adjusted EBITDA for the Commercial &amp; Industrial segment, before deducting for noncontrolling interests, was $81.5 million, or 14.6% of C&amp;I total sales, as compared to $53.3 million, or 12.4% of total sales, in the prior year. This margin increase was primarily driven by an impact from tariff refunds of approximately 2%, as well as the favorable impact of acquisitions/divestitures and improved operating leverage, offset by an unfavorable sales mix shift and strategic operating expense investments to support future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Adjusted EBITDA for the Residential segment was $215.4 million, or 34.7% of Residential segment total sales, as compared to $146.4 million, or 23.1% of Residential sales, in the prior year. This increase was primarily driven by tariff refunds which impacted margins by approximately 9%, as well as favorable sales mix and operational efficiencies resulting in lower 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Adjusted Net Income.</w:t>
      </w:r>
      <w:r>
        <w:rPr>
          <w:rFonts w:ascii="Times New Roman" w:hAnsi="Times New Roman"/>
          <w:caps w:val="false"/>
          <w:smallCaps w:val="false"/>
          <w:sz w:val="20"/>
        </w:rPr>
        <w:t>   Adjusted net income attributable to the Company, as defined in the accompanying reconciliation schedules, was $174 million, or $2.91 per share, as compared to $97 million, or $1.65 per share, in the second quarter of 2025. This increase was primarily driven by higher net income in the current period as outlined above together with changes in certain add-back items.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See “Non-GAAP Measures” for a discussion of how we calculate Adjusted EBITDA and Adjusted Net Income and the limitations on their usefulness.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Six months ended June 30, 2026, compared to the six months ended June 30, 2025</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our consolidated statements of operations information for the periods indicated:</w:t>
      </w:r>
    </w:p>
    <w:p>
      <w:pPr>
        <w:pStyle w:val="TextBody"/>
        <w:bidi w:val="0"/>
        <w:spacing w:before="0" w:after="0"/>
        <w:ind w:left="0" w:right="0" w:hanging="0"/>
        <w:jc w:val="left"/>
        <w:rPr/>
      </w:pPr>
      <w:r>
        <w:rPr/>
        <w:t> </w:t>
      </w:r>
    </w:p>
    <w:tbl>
      <w:tblPr>
        <w:tblW w:w="9173" w:type="dxa"/>
        <w:jc w:val="left"/>
        <w:tblInd w:w="0" w:type="dxa"/>
        <w:tblLayout w:type="fixed"/>
        <w:tblCellMar>
          <w:top w:w="0" w:type="dxa"/>
          <w:left w:w="0" w:type="dxa"/>
          <w:bottom w:w="0" w:type="dxa"/>
          <w:right w:w="0" w:type="dxa"/>
        </w:tblCellMar>
      </w:tblPr>
      <w:tblGrid>
        <w:gridCol w:w="4625"/>
        <w:gridCol w:w="60"/>
        <w:gridCol w:w="138"/>
        <w:gridCol w:w="934"/>
        <w:gridCol w:w="88"/>
        <w:gridCol w:w="66"/>
        <w:gridCol w:w="138"/>
        <w:gridCol w:w="934"/>
        <w:gridCol w:w="80"/>
        <w:gridCol w:w="60"/>
        <w:gridCol w:w="125"/>
        <w:gridCol w:w="695"/>
        <w:gridCol w:w="80"/>
        <w:gridCol w:w="60"/>
        <w:gridCol w:w="89"/>
        <w:gridCol w:w="816"/>
        <w:gridCol w:w="185"/>
      </w:tblGrid>
      <w:tr>
        <w:trPr/>
        <w:tc>
          <w:tcPr>
            <w:tcW w:w="46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0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0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185" w:type="dxa"/>
            <w:tcBorders/>
            <w:shd w:fill="FFFF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2,232,875</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2,003,290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229,585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of goods sold</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1,300,828</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1,214,555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86,273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932,047</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788,735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143,312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and service</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265,251</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265,560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128,437</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122,402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149,440</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154,176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(4,736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61,195</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604,323</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593,308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from operations</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327,724</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195,427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132,297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expense, net</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(41,259</w:t>
            </w:r>
          </w:p>
        </w:tc>
        <w:tc>
          <w:tcPr>
            <w:tcW w:w="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(47,061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provision for income taxes</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286,465</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148,366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138,099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70,343</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216,122</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118,708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97,414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income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w:t>
            </w:r>
          </w:p>
        </w:tc>
        <w:tc>
          <w:tcPr>
            <w:tcW w:w="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attributable to Generac Holdings Inc.</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216,497</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117,856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98,641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communicated earlier, we changed our reportable segments effective March 31, 2026. Segment financial information for the prior periods has been recast to conform to the current presentation.</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tables set forth our reportable segment information for the periods indicated:</w:t>
        <w:br/>
        <w:t>  </w:t>
      </w:r>
    </w:p>
    <w:tbl>
      <w:tblPr>
        <w:tblW w:w="6766" w:type="dxa"/>
        <w:jc w:val="left"/>
        <w:tblInd w:w="0" w:type="dxa"/>
        <w:tblLayout w:type="fixed"/>
        <w:tblCellMar>
          <w:top w:w="0" w:type="dxa"/>
          <w:left w:w="0" w:type="dxa"/>
          <w:bottom w:w="0" w:type="dxa"/>
          <w:right w:w="0" w:type="dxa"/>
        </w:tblCellMar>
      </w:tblPr>
      <w:tblGrid>
        <w:gridCol w:w="2240"/>
        <w:gridCol w:w="60"/>
        <w:gridCol w:w="139"/>
        <w:gridCol w:w="943"/>
        <w:gridCol w:w="66"/>
        <w:gridCol w:w="66"/>
        <w:gridCol w:w="139"/>
        <w:gridCol w:w="943"/>
        <w:gridCol w:w="60"/>
        <w:gridCol w:w="60"/>
        <w:gridCol w:w="125"/>
        <w:gridCol w:w="695"/>
        <w:gridCol w:w="80"/>
        <w:gridCol w:w="60"/>
        <w:gridCol w:w="123"/>
        <w:gridCol w:w="782"/>
        <w:gridCol w:w="185"/>
      </w:tblGrid>
      <w:tr>
        <w:trPr/>
        <w:tc>
          <w:tcPr>
            <w:tcW w:w="2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Sales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08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08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185" w:type="dxa"/>
            <w:tcBorders/>
            <w:shd w:fill="FFFF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Residential</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1,166,338</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1,173,709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7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&amp; Industrial</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1,066,537</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829,581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236,956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2,232,875</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2,003,290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229,585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841"/>
        <w:gridCol w:w="60"/>
        <w:gridCol w:w="176"/>
        <w:gridCol w:w="1192"/>
        <w:gridCol w:w="60"/>
        <w:gridCol w:w="60"/>
        <w:gridCol w:w="268"/>
        <w:gridCol w:w="1175"/>
        <w:gridCol w:w="80"/>
        <w:gridCol w:w="60"/>
        <w:gridCol w:w="125"/>
        <w:gridCol w:w="845"/>
        <w:gridCol w:w="80"/>
        <w:gridCol w:w="60"/>
        <w:gridCol w:w="176"/>
        <w:gridCol w:w="1192"/>
        <w:gridCol w:w="60"/>
        <w:gridCol w:w="60"/>
        <w:gridCol w:w="268"/>
        <w:gridCol w:w="1175"/>
        <w:gridCol w:w="80"/>
        <w:gridCol w:w="60"/>
        <w:gridCol w:w="125"/>
        <w:gridCol w:w="845"/>
        <w:gridCol w:w="82"/>
      </w:tblGrid>
      <w:tr>
        <w:trPr/>
        <w:tc>
          <w:tcPr>
            <w:tcW w:w="18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22"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Sales by Reportable Segment</w:t>
            </w:r>
          </w:p>
        </w:tc>
        <w:tc>
          <w:tcPr>
            <w:tcW w:w="82" w:type="dxa"/>
            <w:tcBorders/>
            <w:shd w:fill="FFFFFF" w:val="clear"/>
            <w:vAlign w:val="center"/>
          </w:tcPr>
          <w:p>
            <w:pPr>
              <w:pStyle w:val="TableContents"/>
              <w:bidi w:val="0"/>
              <w:spacing w:before="0" w:after="283"/>
              <w:jc w:val="left"/>
              <w:rPr/>
            </w:pPr>
            <w:r>
              <w:rPr/>
              <w:t> </w:t>
            </w:r>
          </w:p>
        </w:tc>
      </w:tr>
      <w:tr>
        <w:trPr/>
        <w:tc>
          <w:tcPr>
            <w:tcW w:w="18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41"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41"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 2025</w:t>
            </w:r>
          </w:p>
        </w:tc>
        <w:tc>
          <w:tcPr>
            <w:tcW w:w="82" w:type="dxa"/>
            <w:tcBorders/>
            <w:shd w:fill="FFFFFF" w:val="clear"/>
            <w:vAlign w:val="center"/>
          </w:tcPr>
          <w:p>
            <w:pPr>
              <w:pStyle w:val="TableContents"/>
              <w:bidi w:val="0"/>
              <w:spacing w:before="0" w:after="283"/>
              <w:jc w:val="left"/>
              <w:rPr/>
            </w:pPr>
            <w:r>
              <w:rPr/>
              <w:t> </w:t>
            </w:r>
          </w:p>
        </w:tc>
      </w:tr>
      <w:tr>
        <w:trPr/>
        <w:tc>
          <w:tcPr>
            <w:tcW w:w="18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External Net Sales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Intersegment Sales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Sales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External Net Sales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Intersegment Sales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Sales</w:t>
            </w:r>
          </w:p>
        </w:tc>
        <w:tc>
          <w:tcPr>
            <w:tcW w:w="82" w:type="dxa"/>
            <w:tcBorders/>
            <w:shd w:fill="FFFFFF" w:val="clear"/>
            <w:vAlign w:val="center"/>
          </w:tcPr>
          <w:p>
            <w:pPr>
              <w:pStyle w:val="TableContents"/>
              <w:bidi w:val="0"/>
              <w:spacing w:before="0" w:after="283"/>
              <w:jc w:val="left"/>
              <w:rPr/>
            </w:pPr>
            <w:r>
              <w:rPr/>
              <w:t> </w:t>
            </w:r>
          </w:p>
        </w:tc>
      </w:tr>
      <w:tr>
        <w:trPr/>
        <w:tc>
          <w:tcPr>
            <w:tcW w:w="184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Residential</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1,166,338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1,173,446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1,173,709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1,183,381</w:t>
            </w:r>
          </w:p>
        </w:tc>
        <w:tc>
          <w:tcPr>
            <w:tcW w:w="82" w:type="dxa"/>
            <w:tcBorders/>
            <w:shd w:fill="CCEEFF" w:val="clear"/>
            <w:vAlign w:val="center"/>
          </w:tcPr>
          <w:p>
            <w:pPr>
              <w:pStyle w:val="TableContents"/>
              <w:bidi w:val="0"/>
              <w:spacing w:before="0" w:after="283"/>
              <w:jc w:val="left"/>
              <w:rPr/>
            </w:pPr>
            <w:r>
              <w:rPr/>
              <w:t> </w:t>
            </w:r>
          </w:p>
        </w:tc>
      </w:tr>
      <w:tr>
        <w:trPr/>
        <w:tc>
          <w:tcPr>
            <w:tcW w:w="184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&amp; Industrial</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11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1,066,537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ind w:left="0" w:right="0" w:hanging="0"/>
              <w:jc w:val="left"/>
              <w:rPr/>
            </w:pPr>
            <w:r>
              <w:rPr/>
              <w:t> </w:t>
            </w:r>
          </w:p>
        </w:tc>
        <w:tc>
          <w:tcPr>
            <w:tcW w:w="11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1,066,588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11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829,581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ind w:left="0" w:right="0" w:hanging="0"/>
              <w:jc w:val="left"/>
              <w:rPr/>
            </w:pPr>
            <w:r>
              <w:rPr/>
              <w:t> </w:t>
            </w:r>
          </w:p>
        </w:tc>
        <w:tc>
          <w:tcPr>
            <w:tcW w:w="11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829,581</w:t>
            </w:r>
          </w:p>
        </w:tc>
        <w:tc>
          <w:tcPr>
            <w:tcW w:w="82" w:type="dxa"/>
            <w:tcBorders/>
            <w:shd w:fill="FFFFFF" w:val="clear"/>
            <w:vAlign w:val="center"/>
          </w:tcPr>
          <w:p>
            <w:pPr>
              <w:pStyle w:val="TableContents"/>
              <w:bidi w:val="0"/>
              <w:spacing w:before="0" w:after="283"/>
              <w:jc w:val="left"/>
              <w:rPr/>
            </w:pPr>
            <w:r>
              <w:rPr/>
              <w:t> </w:t>
            </w:r>
          </w:p>
        </w:tc>
      </w:tr>
      <w:tr>
        <w:trPr/>
        <w:tc>
          <w:tcPr>
            <w:tcW w:w="184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Intercompany eliminations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(7,159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(7,159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(9,672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(9,672</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4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2,232,875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2,232,875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2,003,290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2,003,290</w:t>
            </w:r>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6768" w:type="dxa"/>
        <w:jc w:val="left"/>
        <w:tblInd w:w="0" w:type="dxa"/>
        <w:tblLayout w:type="fixed"/>
        <w:tblCellMar>
          <w:top w:w="0" w:type="dxa"/>
          <w:left w:w="0" w:type="dxa"/>
          <w:bottom w:w="0" w:type="dxa"/>
          <w:right w:w="0" w:type="dxa"/>
        </w:tblCellMar>
      </w:tblPr>
      <w:tblGrid>
        <w:gridCol w:w="2240"/>
        <w:gridCol w:w="60"/>
        <w:gridCol w:w="161"/>
        <w:gridCol w:w="898"/>
        <w:gridCol w:w="103"/>
        <w:gridCol w:w="77"/>
        <w:gridCol w:w="161"/>
        <w:gridCol w:w="898"/>
        <w:gridCol w:w="80"/>
        <w:gridCol w:w="60"/>
        <w:gridCol w:w="125"/>
        <w:gridCol w:w="695"/>
        <w:gridCol w:w="60"/>
        <w:gridCol w:w="60"/>
        <w:gridCol w:w="123"/>
        <w:gridCol w:w="782"/>
        <w:gridCol w:w="185"/>
      </w:tblGrid>
      <w:tr>
        <w:trPr/>
        <w:tc>
          <w:tcPr>
            <w:tcW w:w="2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Adjusted EBITDA</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0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185" w:type="dxa"/>
            <w:tcBorders/>
            <w:shd w:fill="FFFF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Residential</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353,974</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258,013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95,961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7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&amp; Industrial</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148,016</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98,688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7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and eliminations</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(17,785</w:t>
            </w:r>
          </w:p>
        </w:tc>
        <w:tc>
          <w:tcPr>
            <w:tcW w:w="1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NM</w:t>
            </w:r>
          </w:p>
        </w:tc>
        <w:tc>
          <w:tcPr>
            <w:tcW w:w="185" w:type="dxa"/>
            <w:tcBorders/>
            <w:shd w:fill="CCEE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Adjusted EBITDA</w:t>
            </w:r>
          </w:p>
        </w:tc>
        <w:tc>
          <w:tcPr>
            <w:tcW w:w="60" w:type="dxa"/>
            <w:tcBorders/>
            <w:shd w:fill="FFFF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484,205</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337,175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147,030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Net sales.</w:t>
      </w:r>
      <w:r>
        <w:rPr>
          <w:rFonts w:ascii="Times New Roman" w:hAnsi="Times New Roman"/>
          <w:caps w:val="false"/>
          <w:smallCaps w:val="false"/>
          <w:sz w:val="20"/>
        </w:rPr>
        <w:t>   Commercial &amp; Industrial segment total sales increased approximately 29% to $1,067 million from $830 million in the prior year, including an approximate 8% net favorable impact from the combination of acquisitions, divestitures, and foreign currency. The core total sales growth for the segment was primarily driven by ramping revenue from products sold to global data center customers, increased shipments to rental and telecom channel customers, and higher sales of our controls solutions to the global power generation market, partially offset by lower sales to domestic industrial distributor customers.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Residential segment total sales decreased approximately 1% to $1,173 million as compared to $1,183 million in the prior year. This sales decrease was primarily driven by a decline in energy storage system sales, partially offset by higher home standby and portable generator shipments.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Overall, net contribution from non-annualized acquisitions &amp; divestitures for the first half of 2026 was $34.6 million, primarily in the Commercial &amp; Industrial segment.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Gross profit.</w:t>
      </w:r>
      <w:r>
        <w:rPr>
          <w:rFonts w:ascii="Times New Roman" w:hAnsi="Times New Roman"/>
          <w:caps w:val="false"/>
          <w:smallCaps w:val="false"/>
          <w:sz w:val="20"/>
        </w:rPr>
        <w:t>   Gross profit margin was 41.7% as compared to 39.4% in the prior-year period. The increase was primarily driven by tariff refunds which contributed approximately 3% to gross margin growth during the period. This increase was partially offset by unfavorable sales mix and higher input costs that more than offset favorable price realization.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Operating Expenses.</w:t>
      </w:r>
      <w:r>
        <w:rPr>
          <w:rFonts w:ascii="Times New Roman" w:hAnsi="Times New Roman"/>
          <w:caps w:val="false"/>
          <w:smallCaps w:val="false"/>
          <w:sz w:val="20"/>
        </w:rPr>
        <w:t>   Operating expenses increased $11.0 million, or 2%, compared to the prior year period. The increase was primarily driven by higher intangible asset amortization and increased operating expense investments to support future C&amp;I growth, partially offset by lower legal expense in the current year period. </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Other Expense.</w:t>
      </w:r>
      <w:r>
        <w:rPr>
          <w:rFonts w:ascii="Times New Roman" w:hAnsi="Times New Roman"/>
          <w:caps w:val="false"/>
          <w:smallCaps w:val="false"/>
          <w:sz w:val="20"/>
        </w:rPr>
        <w:t>   The reduction in other expense, net was driven primarily by a gain in the fair value of our investment in warrants and equity securities of Wallbox N.V as well as lower interest expense and higher investment income, partially offset by the loss related to four immaterial business dispositions during the period.</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Provision for income taxes.</w:t>
      </w:r>
      <w:r>
        <w:rPr>
          <w:rFonts w:ascii="Times New Roman" w:hAnsi="Times New Roman"/>
          <w:caps w:val="false"/>
          <w:smallCaps w:val="false"/>
          <w:sz w:val="20"/>
        </w:rPr>
        <w:t>   Provision for income taxes for the six months ended was $70.3 million, or an effective tax rate of 24.6%, as compared to $29.7 million, or a 20.0% effective tax rate, for the prior-year comparable period. The increase in the effective tax rate was primarily due to a non-recurring favorable discrete item in the prior year period related to a business disposition that did not repeat in the current year period. </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Net income attributable to Generac Holdings Inc.</w:t>
      </w:r>
      <w:r>
        <w:rPr>
          <w:rFonts w:ascii="Times New Roman" w:hAnsi="Times New Roman"/>
          <w:caps w:val="false"/>
          <w:smallCaps w:val="false"/>
          <w:sz w:val="20"/>
        </w:rPr>
        <w:t>   Net income attributable to the Company during the first six months was $216 million, or $3.64 per share, as compared to $118 million, or $1.98 per share, for the same period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Adjusted EBITDA.</w:t>
      </w:r>
      <w:r>
        <w:rPr>
          <w:rFonts w:ascii="Times New Roman" w:hAnsi="Times New Roman"/>
          <w:caps w:val="false"/>
          <w:smallCaps w:val="false"/>
          <w:sz w:val="20"/>
        </w:rPr>
        <w:t>   Adjusted EBITDA for the Commercial &amp; Industrial segment, before deducting for noncontrolling interests, was $148.0 million, or 13.9% of C&amp;I total sales, as compared to $98.7 million, or 11.9% of total sales, in the prior year. This increase was primarily driven by tariff refunds which contributed approximately 1% to gross margin growth, as well as the net accretive impact of acquisitions and divestitures, and improved operating leverage on higher shipment volumes, partially offset by strategic operating expense investments to support future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Adjusted EBITDA for the Residential segment was $354.0 million, or 30.2% of Residential segment total sales, as compared to $258.0 million, or 21.8% of residential sales, in the prior year. This increase was primarily driven by tariff refunds which impacted margins by approximately 5%, as well as favorable sales mix and operational efficiencies resulting in lower operating expenses, and favorable price realization that more than offset higher input costs.</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shd w:fill="FFFFFF" w:val="clear"/>
        </w:rPr>
        <w:t>Adjusted Net Income.</w:t>
      </w:r>
      <w:r>
        <w:rPr>
          <w:rFonts w:ascii="Times New Roman" w:hAnsi="Times New Roman"/>
          <w:caps w:val="false"/>
          <w:smallCaps w:val="false"/>
          <w:sz w:val="20"/>
          <w:shd w:fill="FFFFFF" w:val="clear"/>
        </w:rPr>
        <w:t>   Adj</w:t>
      </w:r>
      <w:r>
        <w:rPr>
          <w:rFonts w:ascii="Times New Roman" w:hAnsi="Times New Roman"/>
          <w:caps w:val="false"/>
          <w:smallCaps w:val="false"/>
          <w:sz w:val="20"/>
        </w:rPr>
        <w:t>usted net income attributable to the Company, as defined in the accompanying non-GAAP measures reconciliation schedules, was $279.7 million in the current year first six months as compared to $172.7 million in the prior-year. This increase was primarily driven by higher net income in the current period as outlined above together with changes in certain add-back items.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See “Non-GAAP Measures” for a discussion of how we calculate Adjusted EBITDA and Adjusted Net Income and the limitations on their usefulness.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Liquidity and Financial Condition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color w:val="000000"/>
          <w:sz w:val="20"/>
        </w:rPr>
      </w:pPr>
      <w:r>
        <w:rPr>
          <w:rFonts w:ascii="Times New Roman;Times;serif" w:hAnsi="Times New Roman;Times;serif"/>
          <w:color w:val="000000"/>
          <w:sz w:val="20"/>
        </w:rPr>
        <w:t>Our primary cash requirements include payment for raw materials and components, salaries and benefits, facility and lease costs, operating expenses, interest and principal payments on debt, and capital expenditures. We finance our operations primarily from cash flow generated from operations and, if necessary, borrowings under our revolving credit facility.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On July 1, 2025, we amended our Original Tranche A Term Loan Facility and Original Revolving Facility (Prior Amended Credit Agreement), extending the maturity of both to July 1, 2030, revising the Original Tranche A Term Loan Facility outstanding principal balance to $700 million (New Tranche A Term Loan Facility), reducing the Original Revolving Facility borrowing capacity to $1 billion (New Revolving Facility) (collectively the New Credit Agreements) and redefining the Term Benchmark (as defined in the Prior Amended Credit Agreement) to replace the Adjusted Term SOFR Rate (as defined in the Prior Amended Credit Agreement) with the Term SOFR Rate (as defined in the New Credit Agreements), resulting in an interest rate reduction of 0.10%. The New Tranche A Term Loan Facility is repayable in increasing quarterly installments over time, equal to 0.625% to 2.50% of the original principal amount, beginning on October 1, 2026. The New Tranche A Term Loan Facility and the New Revolving Facility bear interest at a rate based on SOFR plus an applicable margin between 1.25% and 1.75%, both based on our total leverage ratio and subject to a SOFR floor of 0.0%. As of June 30, 2026, the interest rate for the New Tranche A Term Loan Facility and the New Revolving Facility was 4.87%. </w:t>
      </w:r>
    </w:p>
    <w:p>
      <w:pPr>
        <w:pStyle w:val="TextBody"/>
        <w:bidi w:val="0"/>
        <w:spacing w:before="0" w:after="0"/>
        <w:ind w:left="0" w:right="0" w:hanging="0"/>
        <w:jc w:val="left"/>
        <w:rPr/>
      </w:pPr>
      <w:r>
        <w:rPr/>
        <w:t> </w:t>
      </w:r>
    </w:p>
    <w:p>
      <w:pPr>
        <w:pStyle w:val="TextBody"/>
        <w:bidi w:val="0"/>
        <w:jc w:val="both"/>
        <w:rPr>
          <w:rFonts w:ascii="Times New Roman" w:hAnsi="Times New Roman"/>
          <w:caps w:val="false"/>
          <w:smallCaps w:val="false"/>
          <w:sz w:val="20"/>
        </w:rPr>
      </w:pPr>
      <w:r>
        <w:rPr>
          <w:rFonts w:ascii="Times New Roman" w:hAnsi="Times New Roman"/>
          <w:caps w:val="false"/>
          <w:smallCaps w:val="false"/>
          <w:color w:val="000000"/>
          <w:sz w:val="20"/>
        </w:rPr>
        <w:t>In accordance with ASC 470-50, we capitalized $5.3 million of debt issuance costs related to this refinancing transaction. Additionally, we wrote-off certain unamortized deferred financing costs related to the Original Revolving Facility of $0.4 million and expensed $0.8 million of third-party fees as a loss on refinancing of debt.</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color w:val="000000"/>
          <w:sz w:val="20"/>
        </w:rPr>
        <w:t>As of June 30, 2026, t</w:t>
      </w:r>
      <w:r>
        <w:rPr>
          <w:rFonts w:ascii="Times New Roman;Times;serif" w:hAnsi="Times New Roman;Times;serif"/>
          <w:color w:val="000000"/>
          <w:sz w:val="20"/>
          <w:shd w:fill="FFFFFF" w:val="clear"/>
        </w:rPr>
        <w:t xml:space="preserve">here was $491.3 million outstanding under the Term Loan B Facility, $700 million outstanding under the New Tranche A Term Loan Facility, and no borrowings on the New Revolving Facility, leaving $999.3 million of unused capacity, net of outstanding letters of credit.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color w:val="000000"/>
          <w:sz w:val="20"/>
          <w:shd w:fill="FFFFFF" w:val="clear"/>
        </w:rPr>
        <w:t>The Term Loan B Facility bears interest at the adjuste</w:t>
      </w:r>
      <w:r>
        <w:rPr>
          <w:rFonts w:ascii="Times New Roman;Times;serif" w:hAnsi="Times New Roman;Times;serif"/>
          <w:color w:val="000000"/>
          <w:sz w:val="20"/>
        </w:rPr>
        <w:t>d SOFR rate plus an applicable margin of 1.75%, subject to a SOFR floor of 0.0%. As of June 30, 2026, the interest rate for the Term Loan B Facility was 5.37%. The Term Loan B Facility does not require an Excess Cash Flow payment (</w:t>
      </w:r>
      <w:r>
        <w:rPr>
          <w:rFonts w:ascii="Times New Roman;Times;serif" w:hAnsi="Times New Roman;Times;serif"/>
          <w:sz w:val="20"/>
        </w:rPr>
        <w:t>as defined in the Term Loan B Facility credit agreement</w:t>
      </w:r>
      <w:r>
        <w:rPr>
          <w:rFonts w:ascii="Times New Roman;Times;serif" w:hAnsi="Times New Roman;Times;serif"/>
          <w:color w:val="000000"/>
          <w:sz w:val="20"/>
        </w:rPr>
        <w:t xml:space="preserve">) if our net secured leverage ratio is maintained below 3.75 to 1.00. As of June 30, 2026, our net secured leverage ratio was 1.15 to 1.00, and we were in compliance with all covenants of the facility. There are no financial maintenance covenants on the Term Loan B Facility.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color w:val="000000"/>
          <w:sz w:val="20"/>
        </w:rPr>
        <w:t xml:space="preserve">The New Tranche A Term Loan Facility and the New Revolving Facility contain certain financial covenants that require us to maintain a total leverage ratio below 3.75 to 1.00, as well as an interest coverage ratio above 3.00 to 1.00. As of </w:t>
      </w:r>
      <w:r>
        <w:rPr>
          <w:rFonts w:ascii="Times New Roman;Times;serif" w:hAnsi="Times New Roman;Times;serif"/>
          <w:sz w:val="20"/>
        </w:rPr>
        <w:t>June 30, 2026, </w:t>
      </w:r>
      <w:r>
        <w:rPr>
          <w:rFonts w:ascii="Times New Roman;Times;serif" w:hAnsi="Times New Roman;Times;serif"/>
          <w:color w:val="000000"/>
          <w:sz w:val="20"/>
        </w:rPr>
        <w:t>our total leverage ratio was 1.20 to 1.00, and our interest coverage ratio was 15.72 to 1.0</w:t>
      </w:r>
      <w:r>
        <w:rPr>
          <w:rFonts w:ascii="Times New Roman;Times;serif" w:hAnsi="Times New Roman;Times;serif"/>
          <w:color w:val="000000"/>
          <w:sz w:val="20"/>
          <w:shd w:fill="FFFFFF" w:val="clear"/>
        </w:rPr>
        <w:t>0. We w</w:t>
      </w:r>
      <w:r>
        <w:rPr>
          <w:rFonts w:ascii="Times New Roman;Times;serif" w:hAnsi="Times New Roman;Times;serif"/>
          <w:color w:val="000000"/>
          <w:sz w:val="20"/>
        </w:rPr>
        <w:t xml:space="preserve">ere also in compliance with all other covenants of the New Credit Agreements as of </w:t>
      </w:r>
      <w:r>
        <w:rPr>
          <w:rFonts w:ascii="Times New Roman;Times;serif" w:hAnsi="Times New Roman;Times;serif"/>
          <w:sz w:val="20"/>
        </w:rPr>
        <w:t>June 30, 2026.</w:t>
      </w:r>
      <w:r>
        <w:rPr>
          <w:rFonts w:ascii="Times New Roman;Times;serif" w:hAnsi="Times New Roman;Times;serif"/>
          <w:color w:val="000000"/>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On February 12, 2024, our Board of Directors approved a stock repurchase program that allowed for the repurchase of up to $500.0 million of our common stock over a twenty-four-month period. Additionally, on February 9, 2026, our Board of Directors approved a new stock repurchase program that allows for the repurchase of up to $500.0 million of our common stock over the next twenty-four months. The new program replaces the prior share repurchase program, which had approximately $199.3 million remaining available for repurchase when the new program was approved. Pursuant to the approved program, we may repurchase our common stock from time to time, in amounts and at prices we deem appropriate, subject to market conditions and other considerations. The repurchases may be executed using a combination of Rule 10b5-1 trading plans, open market purchases, privately negotiated agreements, or other transactions. The actual timing, number and value of shares repurchased under the program will be determined by management at its discretion and in compliance with the terms of our credit agreements. The repurchases may be funded with cash on hand, available borrowings, or proceeds from potential debt or other capital markets sources. The stock repurchase program may be suspended or discontinued at any time without prior notice. </w:t>
      </w:r>
      <w:r>
        <w:rPr>
          <w:rFonts w:ascii="Times New Roman" w:hAnsi="Times New Roman"/>
          <w:caps w:val="false"/>
          <w:smallCaps w:val="false"/>
          <w:color w:val="000000"/>
          <w:sz w:val="20"/>
        </w:rPr>
        <w:t>As of June 30, 2026,</w:t>
      </w:r>
      <w:r>
        <w:rPr>
          <w:rFonts w:ascii="Times New Roman" w:hAnsi="Times New Roman"/>
          <w:caps w:val="false"/>
          <w:smallCaps w:val="false"/>
          <w:color w:val="000000"/>
          <w:sz w:val="20"/>
          <w:shd w:fill="FFFFFF" w:val="clear"/>
        </w:rPr>
        <w:t> the remaining unused buyback authorization under the current program was $500 million. </w:t>
      </w:r>
    </w:p>
    <w:p>
      <w:pPr>
        <w:pStyle w:val="TextBody"/>
        <w:bidi w:val="0"/>
        <w:spacing w:before="0" w:after="0"/>
        <w:jc w:val="both"/>
        <w:rPr/>
      </w:pPr>
      <w:r>
        <w:rPr/>
        <w:t xml:space="preserve">  </w:t>
      </w:r>
    </w:p>
    <w:p>
      <w:pPr>
        <w:pStyle w:val="TextBody"/>
        <w:bidi w:val="0"/>
        <w:spacing w:before="0" w:after="0"/>
        <w:jc w:val="both"/>
        <w:rPr>
          <w:sz w:val="20"/>
        </w:rPr>
      </w:pPr>
      <w:r>
        <w:rPr>
          <w:sz w:val="20"/>
        </w:rPr>
        <w:t xml:space="preserve">During the three and six months ended June 30, 2026, there were no share repurchases under the program. During the three and six months ended June 30, 2025, we repurchased 392,521 and 1,109,206 shares of common stock for $50.5 million and $147.9 million, respectively. We have periodically reissued shares out of Treasury stock, including for acquisition contingent consideration payments. </w:t>
      </w:r>
    </w:p>
    <w:p>
      <w:pPr>
        <w:pStyle w:val="TextBody"/>
        <w:bidi w:val="0"/>
        <w:jc w:val="both"/>
        <w:rPr/>
      </w:pPr>
      <w:r>
        <w:rPr/>
        <w:t xml:space="preserve">  </w:t>
      </w:r>
    </w:p>
    <w:p>
      <w:pPr>
        <w:pStyle w:val="TextBody"/>
        <w:bidi w:val="0"/>
        <w:spacing w:before="0" w:after="0"/>
        <w:ind w:left="0" w:right="0" w:hanging="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See Note 12, “Credit Agreements,” and Note 13, "Stock Repurchase Program," to the condensed consolidated financial statements included in Item 1 of this Quarterly Report on Form 10-Q for more information on our credit agreements and stock repurchase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color w:val="000000"/>
          <w:sz w:val="20"/>
        </w:rPr>
        <w:t>We have an arrangement with a finance company to provide floor plan financing for qualifying dealers. This arrangement provides liquidity for our dealers by financing dealer purchases of Generac products with credit availability from the finance company. We receive payment from the finance company after shipment of product to the dealer, and our dealers are given a longer period of time to pay the finance company. If our dealers do not pay the finance company, we may be required to repurchase the applicable inventory held by the dealer. We do not indemnify the finance company for any credit losses they may incur. Total dealer purchases financed under this arrangement accounted for approximately 12% a</w:t>
      </w:r>
      <w:r>
        <w:rPr>
          <w:rFonts w:ascii="Times New Roman" w:hAnsi="Times New Roman"/>
          <w:caps w:val="false"/>
          <w:smallCaps w:val="false"/>
          <w:color w:val="000000"/>
          <w:sz w:val="20"/>
          <w:shd w:fill="FFFFFF" w:val="clear"/>
        </w:rPr>
        <w:t xml:space="preserve">nd 13% of net sales for the </w:t>
      </w:r>
      <w:r>
        <w:rPr>
          <w:rFonts w:ascii="Times New Roman" w:hAnsi="Times New Roman"/>
          <w:caps w:val="false"/>
          <w:smallCaps w:val="false"/>
          <w:sz w:val="20"/>
        </w:rPr>
        <w:t>six months ended June 30, 2026 and 2025</w:t>
      </w:r>
      <w:r>
        <w:rPr>
          <w:rFonts w:ascii="Times New Roman" w:hAnsi="Times New Roman"/>
          <w:caps w:val="false"/>
          <w:smallCaps w:val="false"/>
          <w:color w:val="000000"/>
          <w:sz w:val="20"/>
          <w:shd w:fill="FFFFFF" w:val="clear"/>
        </w:rPr>
        <w:t>, res</w:t>
      </w:r>
      <w:r>
        <w:rPr>
          <w:rFonts w:ascii="Times New Roman" w:hAnsi="Times New Roman"/>
          <w:caps w:val="false"/>
          <w:smallCaps w:val="false"/>
          <w:color w:val="000000"/>
          <w:sz w:val="20"/>
        </w:rPr>
        <w:t>pectively. The amount financed by dealers which remained outstanding under this arrangement was $179.2 million and $149.7 million as of June 30, 2026, and December 31, 2025, respectively.</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Long-term Liquidity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color w:val="000000"/>
          <w:sz w:val="20"/>
        </w:rPr>
      </w:pPr>
      <w:r>
        <w:rPr>
          <w:rFonts w:ascii="Times New Roman;Times;serif" w:hAnsi="Times New Roman;Times;serif"/>
          <w:color w:val="000000"/>
          <w:sz w:val="20"/>
        </w:rPr>
        <w:t>As of June 30, 20</w:t>
      </w:r>
      <w:r>
        <w:rPr>
          <w:rFonts w:ascii="Times New Roman;Times;serif" w:hAnsi="Times New Roman;Times;serif"/>
          <w:color w:val="000000"/>
          <w:sz w:val="20"/>
          <w:shd w:fill="FFFFFF" w:val="clear"/>
        </w:rPr>
        <w:t>26, we had total liquidity of $1,264.2 million which consists of $264.9 million of cash and cash equivalents and $999.3 million of availability under our New Revolving Facility.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color w:val="000000"/>
          <w:sz w:val="20"/>
        </w:rPr>
      </w:pPr>
      <w:r>
        <w:rPr>
          <w:rFonts w:ascii="Times New Roman;Times;serif" w:hAnsi="Times New Roman;Times;serif"/>
          <w:color w:val="000000"/>
          <w:sz w:val="20"/>
        </w:rPr>
        <w:t>We believe our cash and cash equivalents, cash flow from operations, and availability under our New Revolving Facility and other short-term lines of credit will provide us with sufficient capital to continue to run our operations. We may use a portion of our cash flow for debt repayments and common stock buybacks, impacting the amount available for working capital, capital expenditures, acquisitions, and other general corporate purposes. As we continue to expand our business, we may require additional capital to fund other initiatives that could potentially drive incremental shareholder value.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Flow</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 xml:space="preserve">Six months ended </w:t>
      </w:r>
      <w:r>
        <w:rPr>
          <w:rFonts w:ascii="Times New Roman;Times;serif" w:hAnsi="Times New Roman;Times;serif"/>
          <w:i/>
          <w:sz w:val="20"/>
        </w:rPr>
        <w:t>June 30, 2026</w:t>
      </w:r>
      <w:r>
        <w:rPr>
          <w:rFonts w:ascii="Times New Roman;Times;serif" w:hAnsi="Times New Roman;Times;serif"/>
          <w:b/>
          <w:i/>
          <w:sz w:val="20"/>
        </w:rPr>
        <w:t>,</w:t>
      </w:r>
      <w:r>
        <w:rPr>
          <w:rFonts w:ascii="Times New Roman;Times;serif" w:hAnsi="Times New Roman;Times;serif"/>
          <w:i/>
          <w:sz w:val="20"/>
        </w:rPr>
        <w:t> </w:t>
      </w:r>
      <w:r>
        <w:rPr>
          <w:rFonts w:ascii="Times New Roman;Times;serif" w:hAnsi="Times New Roman;Times;serif"/>
          <w:b/>
          <w:i/>
          <w:sz w:val="20"/>
        </w:rPr>
        <w:t>compared to the </w:t>
      </w:r>
      <w:r>
        <w:rPr>
          <w:rFonts w:ascii="Times New Roman;Times;serif" w:hAnsi="Times New Roman;Times;serif"/>
          <w:i/>
          <w:sz w:val="20"/>
        </w:rPr>
        <w:t xml:space="preserve">six </w:t>
      </w:r>
      <w:r>
        <w:rPr>
          <w:rFonts w:ascii="Times New Roman;Times;serif" w:hAnsi="Times New Roman;Times;serif"/>
          <w:b/>
          <w:i/>
          <w:sz w:val="20"/>
        </w:rPr>
        <w:t>months ended June 30, 2025</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our cash flows by category for the periods presented:</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5600"/>
        <w:gridCol w:w="60"/>
        <w:gridCol w:w="150"/>
        <w:gridCol w:w="912"/>
        <w:gridCol w:w="95"/>
        <w:gridCol w:w="71"/>
        <w:gridCol w:w="150"/>
        <w:gridCol w:w="912"/>
        <w:gridCol w:w="80"/>
        <w:gridCol w:w="60"/>
        <w:gridCol w:w="125"/>
        <w:gridCol w:w="755"/>
        <w:gridCol w:w="80"/>
        <w:gridCol w:w="60"/>
        <w:gridCol w:w="89"/>
        <w:gridCol w:w="816"/>
        <w:gridCol w:w="190"/>
      </w:tblGrid>
      <w:tr>
        <w:trPr/>
        <w:tc>
          <w:tcPr>
            <w:tcW w:w="5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center"/>
              <w:rPr/>
            </w:pPr>
            <w:r>
              <w:rPr/>
              <w:t> </w:t>
            </w:r>
          </w:p>
        </w:tc>
        <w:tc>
          <w:tcPr>
            <w:tcW w:w="190" w:type="dxa"/>
            <w:tcBorders/>
            <w:shd w:fill="FFFFFF" w:val="clear"/>
            <w:vAlign w:val="center"/>
          </w:tcPr>
          <w:p>
            <w:pPr>
              <w:pStyle w:val="TableContents"/>
              <w:bidi w:val="0"/>
              <w:spacing w:before="0" w:after="283"/>
              <w:jc w:val="left"/>
              <w:rPr/>
            </w:pPr>
            <w:r>
              <w:rPr/>
              <w:t> </w:t>
            </w:r>
          </w:p>
        </w:tc>
      </w:tr>
      <w:tr>
        <w:trPr/>
        <w:tc>
          <w:tcPr>
            <w:tcW w:w="560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06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106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190" w:type="dxa"/>
            <w:tcBorders/>
            <w:shd w:fill="FFFFFF" w:val="clear"/>
            <w:vAlign w:val="center"/>
          </w:tcPr>
          <w:p>
            <w:pPr>
              <w:pStyle w:val="TableContents"/>
              <w:bidi w:val="0"/>
              <w:spacing w:before="0" w:after="283"/>
              <w:jc w:val="left"/>
              <w:rPr/>
            </w:pPr>
            <w:r>
              <w:rPr/>
              <w:t> </w:t>
            </w:r>
          </w:p>
        </w:tc>
      </w:tr>
      <w:tr>
        <w:trPr/>
        <w:tc>
          <w:tcPr>
            <w:tcW w:w="5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r>
      <w:tr>
        <w:trPr/>
        <w:tc>
          <w:tcPr>
            <w:tcW w:w="5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240,496</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130,341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110,155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84.5</w:t>
            </w:r>
          </w:p>
        </w:tc>
        <w:tc>
          <w:tcPr>
            <w:tcW w:w="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(275,843</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(93,308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(182,535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-195.6</w:t>
            </w:r>
          </w:p>
        </w:tc>
        <w:tc>
          <w:tcPr>
            <w:tcW w:w="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(40,778</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(101,318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59.8</w:t>
            </w:r>
          </w:p>
        </w:tc>
        <w:tc>
          <w:tcPr>
            <w:tcW w:w="19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60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foreign exchange rate changes on cash and cash equivalents</w:t>
            </w:r>
          </w:p>
        </w:tc>
        <w:tc>
          <w:tcPr>
            <w:tcW w:w="60" w:type="dxa"/>
            <w:tcBorders/>
            <w:shd w:fill="FFFFFF" w:val="clear"/>
            <w:vAlign w:val="center"/>
          </w:tcPr>
          <w:p>
            <w:pPr>
              <w:pStyle w:val="TableContents"/>
              <w:bidi w:val="0"/>
              <w:spacing w:before="0" w:after="0"/>
              <w:ind w:left="0" w:right="0" w:hanging="0"/>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1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w:t>
            </w:r>
          </w:p>
        </w:tc>
        <w:tc>
          <w:tcPr>
            <w:tcW w:w="9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 w:type="dxa"/>
            <w:tcBorders/>
            <w:shd w:fill="FFFFFF" w:val="clear"/>
            <w:vAlign w:val="center"/>
          </w:tcPr>
          <w:p>
            <w:pPr>
              <w:pStyle w:val="TableContents"/>
              <w:bidi w:val="0"/>
              <w:spacing w:before="0" w:after="0"/>
              <w:ind w:left="0" w:right="0" w:hanging="0"/>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1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(6,906</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8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1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105.6</w:t>
            </w:r>
          </w:p>
        </w:tc>
        <w:tc>
          <w:tcPr>
            <w:tcW w:w="1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6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decrease in cash and cash equivalents</w:t>
            </w:r>
          </w:p>
        </w:tc>
        <w:tc>
          <w:tcPr>
            <w:tcW w:w="60" w:type="dxa"/>
            <w:tcBorders/>
            <w:shd w:fill="CCEEFF" w:val="clear"/>
            <w:vAlign w:val="center"/>
          </w:tcPr>
          <w:p>
            <w:pPr>
              <w:pStyle w:val="TableContents"/>
              <w:bidi w:val="0"/>
              <w:spacing w:before="0" w:after="0"/>
              <w:ind w:left="0" w:right="0" w:hanging="0"/>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(76,492</w:t>
            </w:r>
          </w:p>
        </w:tc>
        <w:tc>
          <w:tcPr>
            <w:tcW w:w="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 w:type="dxa"/>
            <w:tcBorders/>
            <w:shd w:fill="CCEEFF" w:val="clear"/>
            <w:vAlign w:val="center"/>
          </w:tcPr>
          <w:p>
            <w:pPr>
              <w:pStyle w:val="TableContents"/>
              <w:bidi w:val="0"/>
              <w:spacing w:before="0" w:after="0"/>
              <w:ind w:left="0" w:right="0" w:hanging="0"/>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(57,746</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(18,746</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8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w:t>
            </w:r>
          </w:p>
        </w:tc>
        <w:tc>
          <w:tcPr>
            <w:tcW w:w="19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increase in operating cash flows for the six months ended June 30, 2026 was driven by higher operating earnings, cash receipts from tariff refunds totaling $61 million, and lower cash tax payments in the current year period.  These items were partially offset by a greater use of cash for working capital as compared to the prior year period.</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$275.8 million net cash used in investing activities for the six months ended June 30, 2026 represents cash payments of $87.7 million related to the purchase of property and equipment and $211.8 million for acquisitions of businesses, net of cash acquired. The cash payments for investing activities were partially offset by $23.7 million of proceeds from sale of businesses, net of cash disposed.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$93.3 million net cash used in investing activities for the six months ended June 30, 2025 included cash payments of $88.7 million related to the purchase of property and equipment, $2.7 million for the purchase of long-term investments, and $2.0 million relating to other 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$40.8 million net cash used in financing activities for the six months ended June 30, 2026 included proceeds of $22.7 million from short-term borrowings, $82.5 million from long-term borrowings, and $10.3 million from the exercise of stock options. These cash proceeds were more than offset by $118.7 million of debt repayments ($25.6 million of short-term borrowings and $93.1 million of long-term borrowings and finance lease obligations), $36.7 million for taxes paid related to equity awards, and $1.0 million for payments of deferred acquisition consideration.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$101.3 million net cash used in financing activities for the six months ended June 30, 2025 represents proceeds of $21.9 million from short-term borrowings, $92.6 million from long-term borrowings, and $1.0 million from the exercise of stock options. These cash proceeds were more than offset by $59.2 million of debt repayments ($30.2 million of short-term borrowings and $29.0 million of long-term borrowings and finance lease obligations), $147.9 million of share repurchases, and $9.4 million for taxes paid related to equity awards.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Contractual Obligations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have been no material changes to our contractual obligations between the February 18, 2026, filing of our Annual Report on Form 10-K for the year ended December 31, 2025, and June 30, 2026, except for the changes in outstanding borrowings and interest rates as discussed in Note 12, “Credit Agreements,” to the condensed consolidated financial statements included in Item 1 of this Quarterly Report on Form 10-Q.</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discussed in our Annual Report on Form 10-K for the year ended December 31, 2025, in preparing the financial statements in accordance with GAAP, management is required to make estimates and assumptions that have an impact on the asset, liability, revenue and expense amounts reported. These estimates can also affect supplemental information disclosures of the Company, including information about contingencies, risk and financial condition. The Company believes, given current facts and circumstances, its estimates and assumptions are reasonable, adhere to U.S. GAAP, and are consistently applied. Inherent in the nature of an estimate or assumption is the fact that actual results may differ from estimates, and estimates may vary as new facts and circumstances arise. The Company makes routine estimates and judgments in determining net realizable value of accounts receivable, inventories, property and equipment, prepaid expenses, product warranties and other reserves. Management believes our most critical accounting estimates and assumptions are in the following areas: goodwill and other indefinite-lived intangible asset impairment assessment; and income taxes.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than the changes described within Note 9, "Goodwill," to the condensed consolidated financial statements included in Item 1 of this Quarterly Report on Form 10-Q, t</w:t>
      </w:r>
      <w:r>
        <w:rPr>
          <w:rFonts w:ascii="Times New Roman;Times;serif" w:hAnsi="Times New Roman;Times;serif"/>
          <w:sz w:val="20"/>
          <w:shd w:fill="FFFFFF" w:val="clear"/>
        </w:rPr>
        <w:t>here h</w:t>
      </w:r>
      <w:r>
        <w:rPr>
          <w:rFonts w:ascii="Times New Roman;Times;serif" w:hAnsi="Times New Roman;Times;serif"/>
          <w:sz w:val="20"/>
        </w:rPr>
        <w:t>ave been no material changes in our critical accounting policies since the February 18, 2026, filing of our Annual Report on Form 10-K for the year ended December 31, 2025.</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Non-GAAP Measures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Adjusted EBITDA</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supplement our condensed consolidated financial statements presented in accordance with U.S. GAAP, the Company provides the computation of Adjusted EBITDA attributable to the Company, which is defined as net income before noncontrolling interests adjusted for the following items: interest expense, depreciation expense, amortization of intangible assets, income tax expense, certain non-cash gains and losses including certain purchase accounting adjustments and contingent consideration adjustments, share-based compensation expense, certain transaction costs and credit facility fees, business optimization expenses, provision for certain legal and regulatory charges, certain other specific provisions, mark-to-market gains and losses on a minority investment, and Adjusted EBITDA attributable to noncontrolling interests. The provision for legal and regulatory charges adjusts for matters that are not part of the ordinary routine litigation or regulatory matters incidental to the Company's business, including but not limited to class action lawsuits, government inquiries, and certain intellectual property litigation. The adjustments to net income in computing Adjusted EBITDA are set forth in the reconciliation table below. The computation of Adjusted EBITDA is based primarily on the definition included in our New and Prior Credit Agreements.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view Adjusted EBITDA as a key measure of our performance. We present Adjusted EBITDA not only due to its importance for purposes of our credit agreements, but also because it assists us in comparing our performance across reporting periods on a consistent basis as it excludes certain items that we do not believe are indicative of our core operating performance. Our management uses Adjusted EBITDA:</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planning purposes, including the preparation of our annual operating budget and developing and refining our internal projections for future periods;</w:t>
            </w:r>
          </w:p>
        </w:tc>
      </w:tr>
    </w:tbl>
    <w:tbl>
      <w:tblPr>
        <w:tblW w:w="6205" w:type="dxa"/>
        <w:jc w:val="left"/>
        <w:tblInd w:w="0" w:type="dxa"/>
        <w:tblLayout w:type="fixed"/>
        <w:tblCellMar>
          <w:top w:w="0" w:type="dxa"/>
          <w:left w:w="0" w:type="dxa"/>
          <w:bottom w:w="0" w:type="dxa"/>
          <w:right w:w="0" w:type="dxa"/>
        </w:tblCellMar>
      </w:tblPr>
      <w:tblGrid>
        <w:gridCol w:w="60"/>
        <w:gridCol w:w="110"/>
        <w:gridCol w:w="6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pPr>
            <w:r>
              <w:rPr/>
              <w:t>•</w:t>
            </w:r>
          </w:p>
        </w:tc>
        <w:tc>
          <w:tcPr>
            <w:tcW w:w="6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allocate resources to enhance the financial performance of our business;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a target for the determination of the bonus component of compensation for our senior executives under our management incentive plan, as described further in our proxy statement;</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evaluate the effectiveness of our business strategies and as a tool in evaluating our performance against our budget for each period; and</w:t>
            </w:r>
          </w:p>
        </w:tc>
      </w:tr>
    </w:tbl>
    <w:tbl>
      <w:tblPr>
        <w:tblW w:w="8260" w:type="dxa"/>
        <w:jc w:val="left"/>
        <w:tblInd w:w="0" w:type="dxa"/>
        <w:tblLayout w:type="fixed"/>
        <w:tblCellMar>
          <w:top w:w="0" w:type="dxa"/>
          <w:left w:w="0" w:type="dxa"/>
          <w:bottom w:w="0" w:type="dxa"/>
          <w:right w:w="0" w:type="dxa"/>
        </w:tblCellMar>
      </w:tblPr>
      <w:tblGrid>
        <w:gridCol w:w="60"/>
        <w:gridCol w:w="110"/>
        <w:gridCol w:w="8090"/>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pPr>
            <w:r>
              <w:rPr/>
              <w:t>•</w:t>
            </w:r>
          </w:p>
        </w:tc>
        <w:tc>
          <w:tcPr>
            <w:tcW w:w="80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communications with our Board of Directors and investors concerning our financial performance.</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believe Adjusted EBITDA is used by securities analysts, investors and other interested parties in the evaluation of the Company. Management believes the disclosure of Adjusted EBITDA offers an additional financial metric that, when coupled with results prepared in accordance with U.S. generally accepted accounting principles (U.S. GAAP) and the reconciliation to U.S. GAAP results, provides a more complete understanding of our results of operations and the factors and trends affecting our business. We believe Adjusted EBITDA is useful to investors for the following reasons: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Adjusted EBITDA and similar non-GAAP measures are widely used by investors to measure a company's operating performance without regard to items that can vary substantially from company to company depending upon financing and accounting methods, book values of assets, tax jurisdictions, capital structures and the methods by which assets were acquired;</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investors can use Adjusted EBITDA as a supplemental measure to evaluate the overall operating performance of our Company, including our ability to service our debt and other cash needs; and</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 comparing our Adjusted EBITDA in different historical periods, our investors can evaluate our operating performance excluding the impact of items described below.</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adjustments included in the reconciliation table listed below are presented to illustrate the operating performance of our business in a manner consistent with the presentation used by our management and Board of Directors. These adjustments eliminate the impact of a number of items that:</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do not consider indicative of our ongoing operating performance, such as non-cash write-downs and other charges, non-cash gains, write-offs relating to the retirement of debt, severance costs and other restructuring-related business optimization expenses, certain other specific provisions, and mark-to-market gains and losses on a minority investment;</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believe to be akin to, or associated with, interest expense, such as administrative agent fees, revolving credit facility commitment fees and letter of credit fees; </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are non-cash in nature, such as share-based compensation; or</w:t>
            </w:r>
          </w:p>
        </w:tc>
      </w:tr>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both"/>
              <w:rPr/>
            </w:pPr>
            <w:r>
              <w:rPr/>
              <w:t>the provision for legal and regulatory charges adjusts for matters that are significant and not part of the ordinary routine litigation or regulatory matters incidental to the Company’s business, including but not limited to large suits and settlements, class action lawsuits, government inquiries, and certain intellectual property litigation.</w:t>
            </w:r>
          </w:p>
        </w:tc>
      </w:tr>
    </w:tbl>
    <w:p>
      <w:pPr>
        <w:pStyle w:val="TextBody"/>
        <w:bidi w:val="0"/>
        <w:spacing w:before="0" w:after="0"/>
        <w:ind w:left="108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explain in more detail in the footnotes to the table below, why we believe these adjustments are useful in calculating Adjusted EBITDA as a measure of our operating performance.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Adjusted EBITDA does not represent, and should not be a substitute for, net income or cash flows from operations as determined in accordance with U.S. GAAP. Adjusted EBITDA has limitations as an analytical tool, and you should not consider it in isolation, or as a substitute for analysis of our results as reported under U.S. GAAP. Some of the limitations are:</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Adjusted EBITDA does not reflect our capital expenditures, or future requirements for capital expenditures or contractual commitments;</w:t>
            </w:r>
          </w:p>
        </w:tc>
      </w:tr>
    </w:tbl>
    <w:tbl>
      <w:tblPr>
        <w:tblW w:w="8155" w:type="dxa"/>
        <w:jc w:val="left"/>
        <w:tblInd w:w="0" w:type="dxa"/>
        <w:tblLayout w:type="fixed"/>
        <w:tblCellMar>
          <w:top w:w="0" w:type="dxa"/>
          <w:left w:w="0" w:type="dxa"/>
          <w:bottom w:w="0" w:type="dxa"/>
          <w:right w:w="0" w:type="dxa"/>
        </w:tblCellMar>
      </w:tblPr>
      <w:tblGrid>
        <w:gridCol w:w="60"/>
        <w:gridCol w:w="110"/>
        <w:gridCol w:w="798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pPr>
            <w:r>
              <w:rPr/>
              <w:t>•</w:t>
            </w:r>
          </w:p>
        </w:tc>
        <w:tc>
          <w:tcPr>
            <w:tcW w:w="79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Adjusted EBITDA does not reflect changes in, or cash requirements for, our working capital needs;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Adjusted EBITDA does not reflect interest expense, or the cash requirements necessary to service interest or principal payments on our debt;</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although depreciation and amortization are non-cash charges, the assets being depreciated and amortized will often have to be replaced in the future, and Adjusted EBITDA does not reflect any cash requirements for such replacements;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several of the adjustments that we use in calculating Adjusted EBITDA, such as non-cash write-downs and other charges, while not involving cash expense, do have a negative impact on the value of our assets as reflected in our consolidated balance sheet prepared in accordance with U.S. GAAP; and</w:t>
            </w:r>
          </w:p>
        </w:tc>
      </w:tr>
    </w:tbl>
    <w:tbl>
      <w:tblPr>
        <w:tblW w:w="10075" w:type="dxa"/>
        <w:jc w:val="left"/>
        <w:tblInd w:w="0" w:type="dxa"/>
        <w:tblLayout w:type="fixed"/>
        <w:tblCellMar>
          <w:top w:w="0" w:type="dxa"/>
          <w:left w:w="0" w:type="dxa"/>
          <w:bottom w:w="0" w:type="dxa"/>
          <w:right w:w="0" w:type="dxa"/>
        </w:tblCellMar>
      </w:tblPr>
      <w:tblGrid>
        <w:gridCol w:w="60"/>
        <w:gridCol w:w="110"/>
        <w:gridCol w:w="990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pPr>
            <w:r>
              <w:rPr/>
              <w:t>•</w:t>
            </w:r>
          </w:p>
        </w:tc>
        <w:tc>
          <w:tcPr>
            <w:tcW w:w="990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companies may calculate Adjusted EBITDA differently than we do, limiting its usefulness as a comparative measure.</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Furthermore, as noted above, one of our uses of Adjusted EBITDA is as a target for determining elements of compensation for our senior executives. At the same time, some or all of these senior executives have responsibility for monitoring our financial results, generally including the adjustments in calculating Adjusted EBITDA (subject ultimately to review by our Board in the context of the Board's review of our financial statements). While many of the adjustments (for example, transaction costs and credit facility fees), involve mathematical application of items reflected in our financial statements, others involve a degree of judgment and discretion. While we believe all of these adjustments are appropriate, and while the calculations are subject to review by our Board in the context of the Board's review of our financial statements, and certification by our Chief Financial Officer in a compliance certificate provided to the lenders under our New and Prior Credit Agreements, this discretion may be viewed as an additional limitation on the use of Adjusted EBITDA as an analytical tool.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Because of these limitations, Adjusted EBITDA should not be considered as a measure of discretionary cash available to us to invest in the growth of our business. We compensate for these limitations by relying primarily on our U.S. GAAP results and using Adjusted EBITDA only supplementally.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presents a reconciliation of net income to Adjusted EBITDA attributable to Generac Holdings Inc.:</w:t>
      </w:r>
    </w:p>
    <w:p>
      <w:pPr>
        <w:pStyle w:val="TextBody"/>
        <w:bidi w:val="0"/>
        <w:spacing w:before="0" w:after="0"/>
        <w:ind w:left="0" w:right="0" w:hanging="0"/>
        <w:jc w:val="both"/>
        <w:rPr/>
      </w:pPr>
      <w:r>
        <w:rPr/>
        <w:t> </w:t>
      </w:r>
    </w:p>
    <w:tbl>
      <w:tblPr>
        <w:tblW w:w="9775" w:type="dxa"/>
        <w:jc w:val="left"/>
        <w:tblInd w:w="0" w:type="dxa"/>
        <w:tblLayout w:type="fixed"/>
        <w:tblCellMar>
          <w:top w:w="0" w:type="dxa"/>
          <w:left w:w="0" w:type="dxa"/>
          <w:bottom w:w="0" w:type="dxa"/>
          <w:right w:w="0" w:type="dxa"/>
        </w:tblCellMar>
      </w:tblPr>
      <w:tblGrid>
        <w:gridCol w:w="4700"/>
        <w:gridCol w:w="60"/>
        <w:gridCol w:w="178"/>
        <w:gridCol w:w="991"/>
        <w:gridCol w:w="114"/>
        <w:gridCol w:w="85"/>
        <w:gridCol w:w="178"/>
        <w:gridCol w:w="991"/>
        <w:gridCol w:w="60"/>
        <w:gridCol w:w="60"/>
        <w:gridCol w:w="161"/>
        <w:gridCol w:w="898"/>
        <w:gridCol w:w="103"/>
        <w:gridCol w:w="77"/>
        <w:gridCol w:w="161"/>
        <w:gridCol w:w="898"/>
        <w:gridCol w:w="60"/>
      </w:tblGrid>
      <w:tr>
        <w:trPr/>
        <w:tc>
          <w:tcPr>
            <w:tcW w:w="4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1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11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0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attributable to Generac Holdings Inc.</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143,244</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216,497</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117,856</w:t>
            </w:r>
          </w:p>
        </w:tc>
        <w:tc>
          <w:tcPr>
            <w:tcW w:w="60" w:type="dxa"/>
            <w:tcBorders/>
            <w:shd w:fill="CCEE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income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w:t>
            </w:r>
          </w:p>
        </w:tc>
        <w:tc>
          <w:tcPr>
            <w:tcW w:w="11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w:t>
            </w:r>
          </w:p>
        </w:tc>
        <w:tc>
          <w:tcPr>
            <w:tcW w:w="1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FFFFFF" w:val="clear"/>
            <w:vAlign w:val="center"/>
          </w:tcPr>
          <w:p>
            <w:pPr>
              <w:pStyle w:val="TableContents"/>
              <w:bidi w:val="0"/>
              <w:spacing w:before="0" w:after="283"/>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852</w:t>
            </w:r>
          </w:p>
        </w:tc>
        <w:tc>
          <w:tcPr>
            <w:tcW w:w="60" w:type="dxa"/>
            <w:tcBorders/>
            <w:shd w:fill="FFFFFF" w:val="clear"/>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143,010</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74,430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216,122</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118,708</w:t>
            </w:r>
          </w:p>
        </w:tc>
        <w:tc>
          <w:tcPr>
            <w:tcW w:w="60" w:type="dxa"/>
            <w:tcBorders/>
            <w:shd w:fill="CCEE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16,787</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32,163</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35,352</w:t>
            </w:r>
          </w:p>
        </w:tc>
        <w:tc>
          <w:tcPr>
            <w:tcW w:w="60" w:type="dxa"/>
            <w:tcBorders/>
            <w:shd w:fill="FFFFFF" w:val="clear"/>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58,410</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114,384</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94,462</w:t>
            </w:r>
          </w:p>
        </w:tc>
        <w:tc>
          <w:tcPr>
            <w:tcW w:w="60" w:type="dxa"/>
            <w:tcBorders/>
            <w:shd w:fill="CCEE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46,696</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70,343</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29,658</w:t>
            </w:r>
          </w:p>
        </w:tc>
        <w:tc>
          <w:tcPr>
            <w:tcW w:w="60" w:type="dxa"/>
            <w:tcBorders/>
            <w:shd w:fill="FFFFFF" w:val="clear"/>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write-down and other adjustments (a)</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2,515</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1,072</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2,142</w:t>
            </w:r>
          </w:p>
        </w:tc>
        <w:tc>
          <w:tcPr>
            <w:tcW w:w="60" w:type="dxa"/>
            <w:tcBorders/>
            <w:shd w:fill="CCEE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share-based compensation expense (b)</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14,005</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27,447</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26,360</w:t>
            </w:r>
          </w:p>
        </w:tc>
        <w:tc>
          <w:tcPr>
            <w:tcW w:w="60" w:type="dxa"/>
            <w:tcBorders/>
            <w:shd w:fill="FFFFFF" w:val="clear"/>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Transaction costs and credit facility fees (c)</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1,115</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3,825</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1,764</w:t>
            </w:r>
          </w:p>
        </w:tc>
        <w:tc>
          <w:tcPr>
            <w:tcW w:w="60" w:type="dxa"/>
            <w:tcBorders/>
            <w:shd w:fill="CCEE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Business optimization and other charges (d)</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2,351</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3,504</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5,017</w:t>
            </w:r>
          </w:p>
        </w:tc>
        <w:tc>
          <w:tcPr>
            <w:tcW w:w="60" w:type="dxa"/>
            <w:tcBorders/>
            <w:shd w:fill="FFFFFF" w:val="clear"/>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legal, regulatory, and other costs (e)</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(951</w:t>
            </w:r>
          </w:p>
        </w:tc>
        <w:tc>
          <w:tcPr>
            <w:tcW w:w="11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2,255</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8,662</w:t>
            </w:r>
          </w:p>
        </w:tc>
        <w:tc>
          <w:tcPr>
            <w:tcW w:w="60" w:type="dxa"/>
            <w:tcBorders/>
            <w:shd w:fill="CCEE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investments (f)</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(5,916</w:t>
            </w:r>
          </w:p>
        </w:tc>
        <w:tc>
          <w:tcPr>
            <w:tcW w:w="11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(4,542</w:t>
            </w:r>
          </w:p>
        </w:tc>
        <w:tc>
          <w:tcPr>
            <w:tcW w:w="1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11,471</w:t>
            </w:r>
          </w:p>
        </w:tc>
        <w:tc>
          <w:tcPr>
            <w:tcW w:w="60" w:type="dxa"/>
            <w:tcBorders/>
            <w:shd w:fill="FFFFFF" w:val="clear"/>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(g)</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12,702</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17,632</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3,579</w:t>
            </w:r>
          </w:p>
        </w:tc>
        <w:tc>
          <w:tcPr>
            <w:tcW w:w="60" w:type="dxa"/>
            <w:tcBorders/>
            <w:shd w:fill="CCEE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290,724</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187,629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484,205</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337,175</w:t>
            </w:r>
          </w:p>
        </w:tc>
        <w:tc>
          <w:tcPr>
            <w:tcW w:w="60" w:type="dxa"/>
            <w:tcBorders/>
            <w:shd w:fill="FFFFFF" w:val="clear"/>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w:t>
            </w:r>
          </w:p>
        </w:tc>
        <w:tc>
          <w:tcPr>
            <w:tcW w:w="11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w:t>
            </w:r>
          </w:p>
        </w:tc>
        <w:tc>
          <w:tcPr>
            <w:tcW w:w="1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1,244</w:t>
            </w:r>
          </w:p>
        </w:tc>
        <w:tc>
          <w:tcPr>
            <w:tcW w:w="60" w:type="dxa"/>
            <w:tcBorders/>
            <w:shd w:fill="CCEE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 attributable to Generac Holdings Inc.</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290,961</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187,017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484,588</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335,931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shd w:fill="FFFFFF" w:val="clear"/>
        </w:rPr>
        <w:t>Represents the following non-cash charges, gains, and other adjustments: gains/losses on the disposition of assets other than in the ordinary course of business, gains/losses on sales of certain investments, unrealized mark-to-market adjustments on commodity contracts, certain foreign currency related adjustments, and certain purchase accounting and contingent consideration adjustments. We believe that adjusting net income for these items is useful for the following reasons:</w:t>
      </w:r>
    </w:p>
    <w:p>
      <w:pPr>
        <w:pStyle w:val="TextBody"/>
        <w:bidi w:val="0"/>
        <w:spacing w:before="0" w:after="0"/>
        <w:ind w:left="0" w:right="0" w:hanging="0"/>
        <w:jc w:val="both"/>
        <w:rPr/>
      </w:pPr>
      <w:r>
        <w:rPr/>
        <w:t> </w:t>
      </w:r>
    </w:p>
    <w:p>
      <w:pPr>
        <w:pStyle w:val="TextBody"/>
        <w:bidi w:val="0"/>
        <w:spacing w:before="0" w:after="0"/>
        <w:ind w:left="320" w:right="0" w:hanging="0"/>
        <w:jc w:val="both"/>
        <w:rPr>
          <w:shd w:fill="FFFFFF" w:val="clear"/>
        </w:rPr>
      </w:pPr>
      <w:r>
        <w:rPr>
          <w:shd w:fill="FFFFFF" w:val="clear"/>
        </w:rPr>
        <w:t xml:space="preserve">• </w:t>
      </w:r>
      <w:r>
        <w:rPr>
          <w:rFonts w:ascii="Times New Roman;Times;serif" w:hAnsi="Times New Roman;Times;serif"/>
          <w:sz w:val="20"/>
          <w:shd w:fill="FFFFFF" w:val="clear"/>
        </w:rPr>
        <w:t>The gains/losses on disposals of assets and sales of certain investments result from the sale of assets that are no longer useful in our business and therefore represent gains/losses that are not from our core operations;</w:t>
      </w:r>
    </w:p>
    <w:p>
      <w:pPr>
        <w:pStyle w:val="TextBody"/>
        <w:bidi w:val="0"/>
        <w:spacing w:before="0" w:after="0"/>
        <w:ind w:left="320" w:right="0" w:hanging="0"/>
        <w:jc w:val="both"/>
        <w:rPr>
          <w:shd w:fill="FFFFFF" w:val="clear"/>
        </w:rPr>
      </w:pPr>
      <w:r>
        <w:rPr>
          <w:shd w:fill="FFFFFF" w:val="clear"/>
        </w:rPr>
        <w:t xml:space="preserve">• </w:t>
      </w:r>
      <w:r>
        <w:rPr>
          <w:rFonts w:ascii="Times New Roman;Times;serif" w:hAnsi="Times New Roman;Times;serif"/>
          <w:sz w:val="20"/>
          <w:shd w:fill="FFFFFF" w:val="clear"/>
        </w:rPr>
        <w:t>The adjustments for unrealized mark-to-market gains and losses on commodity contracts represent non-cash items to reflect changes in the fair value of forward contracts that have not been settled or terminated. We believe it is useful to adjust net income for these items because the charges do not represent a cash outlay in the period in which the charge is incurred, although Adjusted EBITDA must always be used together with our U.S. GAAP statements of comprehensive income and cash flows to capture the full effect of these contracts on our operating performance; and</w:t>
      </w:r>
    </w:p>
    <w:p>
      <w:pPr>
        <w:pStyle w:val="TextBody"/>
        <w:bidi w:val="0"/>
        <w:spacing w:before="0" w:after="0"/>
        <w:ind w:left="320" w:right="0" w:hanging="0"/>
        <w:jc w:val="both"/>
        <w:rPr>
          <w:shd w:fill="FFFFFF" w:val="clear"/>
        </w:rPr>
      </w:pPr>
      <w:r>
        <w:rPr>
          <w:shd w:fill="FFFFFF" w:val="clear"/>
        </w:rPr>
        <w:t>•</w:t>
      </w:r>
      <w:r>
        <w:rPr>
          <w:rFonts w:ascii="Times New Roman;Times;serif" w:hAnsi="Times New Roman;Times;serif"/>
          <w:sz w:val="20"/>
          <w:shd w:fill="FFFFFF" w:val="clear"/>
        </w:rPr>
        <w:t>The purchase accounting adjustments represent non-cash items to reflect fair value of certain assets at the date of acquisition, and therefore do not reflect our ongoing operations. Fair value adjustments to contingent consideration obligations related to business acquisitions are added back as they are akin to purchase price.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(b)  Represents share-based compensation expense to account for stock options, restricted stock, and other stock awards over their respective vesting periods.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(c)  Represents transaction costs incurred directly in connection with any investment, as defined in our credit agreement, equity issuance or debt issuance or refinancing, together with certain fees relating to our senior secured credit facilities, such as administrative agent fees and credit facility commitment fees under our Prior and New Credit Agreement.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(d)  Represents severance and other restructuring charges related to the consolidation of certain operating facilities and organizational functions.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(e)  </w:t>
      </w:r>
      <w:r>
        <w:rPr>
          <w:rFonts w:ascii="Times New Roman;Times;serif" w:hAnsi="Times New Roman;Times;serif"/>
          <w:sz w:val="20"/>
        </w:rPr>
        <w:t>Represents the following significant litigation, regulatory, and other matters that are not indicative of our ongoing operations: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63"/>
        <w:gridCol w:w="60"/>
        <w:gridCol w:w="188"/>
        <w:gridCol w:w="892"/>
        <w:gridCol w:w="90"/>
        <w:gridCol w:w="90"/>
        <w:gridCol w:w="188"/>
        <w:gridCol w:w="730"/>
        <w:gridCol w:w="60"/>
        <w:gridCol w:w="60"/>
        <w:gridCol w:w="172"/>
        <w:gridCol w:w="815"/>
        <w:gridCol w:w="110"/>
        <w:gridCol w:w="82"/>
        <w:gridCol w:w="172"/>
        <w:gridCol w:w="668"/>
        <w:gridCol w:w="65"/>
      </w:tblGrid>
      <w:tr>
        <w:trPr/>
        <w:tc>
          <w:tcPr>
            <w:tcW w:w="57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7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1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5" w:type="dxa"/>
            <w:tcBorders/>
            <w:vAlign w:val="center"/>
          </w:tcPr>
          <w:p>
            <w:pPr>
              <w:pStyle w:val="TableContents"/>
              <w:bidi w:val="0"/>
              <w:spacing w:before="0" w:after="283"/>
              <w:jc w:val="left"/>
              <w:rPr/>
            </w:pPr>
            <w:r>
              <w:rPr/>
              <w:t> </w:t>
            </w:r>
          </w:p>
        </w:tc>
      </w:tr>
      <w:tr>
        <w:trPr/>
        <w:tc>
          <w:tcPr>
            <w:tcW w:w="57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9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1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ind w:left="0" w:right="0" w:hanging="0"/>
              <w:jc w:val="left"/>
              <w:rPr/>
            </w:pPr>
            <w:r>
              <w:rPr/>
              <w:t> </w:t>
            </w:r>
          </w:p>
        </w:tc>
        <w:tc>
          <w:tcPr>
            <w:tcW w:w="8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5" w:type="dxa"/>
            <w:tcBorders/>
            <w:vAlign w:val="center"/>
          </w:tcPr>
          <w:p>
            <w:pPr>
              <w:pStyle w:val="TableContents"/>
              <w:bidi w:val="0"/>
              <w:spacing w:before="0" w:after="283"/>
              <w:jc w:val="left"/>
              <w:rPr/>
            </w:pPr>
            <w:r>
              <w:rPr/>
              <w:t> </w:t>
            </w:r>
          </w:p>
        </w:tc>
      </w:tr>
      <w:tr>
        <w:trPr/>
        <w:tc>
          <w:tcPr>
            <w:tcW w:w="576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Legal expenses, judgements and settlements related to certain patent lawsuits</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(1,038)</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3,188</w:t>
            </w:r>
          </w:p>
        </w:tc>
        <w:tc>
          <w:tcPr>
            <w:tcW w:w="65" w:type="dxa"/>
            <w:tcBorders/>
            <w:shd w:fill="CCEEFF" w:val="clear"/>
            <w:vAlign w:val="center"/>
          </w:tcPr>
          <w:p>
            <w:pPr>
              <w:pStyle w:val="TableContents"/>
              <w:bidi w:val="0"/>
              <w:spacing w:before="0" w:after="283"/>
              <w:jc w:val="left"/>
              <w:rPr/>
            </w:pPr>
            <w:r>
              <w:rPr/>
              <w:t> </w:t>
            </w:r>
          </w:p>
        </w:tc>
      </w:tr>
      <w:tr>
        <w:trPr/>
        <w:tc>
          <w:tcPr>
            <w:tcW w:w="576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Legal expenses, judgements and settlements related to certain class action lawsuits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8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7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2,288</w:t>
            </w:r>
          </w:p>
        </w:tc>
        <w:tc>
          <w:tcPr>
            <w:tcW w:w="11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6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3,883</w:t>
            </w:r>
          </w:p>
        </w:tc>
        <w:tc>
          <w:tcPr>
            <w:tcW w:w="65" w:type="dxa"/>
            <w:tcBorders/>
            <w:shd w:fill="FFFFFF" w:val="clear"/>
            <w:vAlign w:val="center"/>
          </w:tcPr>
          <w:p>
            <w:pPr>
              <w:pStyle w:val="TableContents"/>
              <w:bidi w:val="0"/>
              <w:spacing w:before="0" w:after="283"/>
              <w:jc w:val="left"/>
              <w:rPr/>
            </w:pPr>
            <w:r>
              <w:rPr/>
              <w:t> </w:t>
            </w:r>
          </w:p>
        </w:tc>
      </w:tr>
      <w:tr>
        <w:trPr/>
        <w:tc>
          <w:tcPr>
            <w:tcW w:w="576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Legal expenses related to certain government inquiries and other significant matters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8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7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2,134</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6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1,591</w:t>
            </w:r>
          </w:p>
        </w:tc>
        <w:tc>
          <w:tcPr>
            <w:tcW w:w="65" w:type="dxa"/>
            <w:tcBorders/>
            <w:shd w:fill="CCEEFF" w:val="clear"/>
            <w:vAlign w:val="center"/>
          </w:tcPr>
          <w:p>
            <w:pPr>
              <w:pStyle w:val="TableContents"/>
              <w:bidi w:val="0"/>
              <w:spacing w:before="0" w:after="283"/>
              <w:jc w:val="left"/>
              <w:rPr/>
            </w:pPr>
            <w:r>
              <w:rPr/>
              <w:t> </w:t>
            </w:r>
          </w:p>
        </w:tc>
      </w:tr>
      <w:tr>
        <w:trPr/>
        <w:tc>
          <w:tcPr>
            <w:tcW w:w="576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Release of warranty provision recorded in 2022 to address clean energy warranty-related matters</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(1,129</w:t>
            </w:r>
          </w:p>
        </w:tc>
        <w:tc>
          <w:tcPr>
            <w:tcW w:w="1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r>
      <w:tr>
        <w:trPr/>
        <w:tc>
          <w:tcPr>
            <w:tcW w:w="576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provision for legal, regulatory and other matters</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2,255</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8,662</w:t>
            </w:r>
          </w:p>
        </w:tc>
        <w:tc>
          <w:tcPr>
            <w:tcW w:w="6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shd w:fill="FFFFFF" w:val="clear"/>
        </w:rPr>
      </w:pPr>
      <w:r>
        <w:rPr>
          <w:caps w:val="false"/>
          <w:smallCaps w:val="false"/>
          <w:shd w:fill="FFFFFF" w:val="clear"/>
        </w:rPr>
        <w:t> </w:t>
      </w:r>
      <w:r>
        <w:rPr>
          <w:rFonts w:ascii="Times New Roman" w:hAnsi="Times New Roman"/>
          <w:caps w:val="false"/>
          <w:smallCaps w:val="false"/>
          <w:sz w:val="20"/>
          <w:shd w:fill="FFFFFF" w:val="clear"/>
        </w:rPr>
        <w:t>(f)  Represents non-cash gains and losses primarily from changes in the fair value of the Company's investment in Wallbox N.V. warrants and equity securities.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color w:val="000000"/>
          <w:sz w:val="20"/>
          <w:shd w:fill="FFFFFF" w:val="clear"/>
        </w:rPr>
        <w:t>(g)  </w:t>
      </w:r>
      <w:r>
        <w:rPr>
          <w:rFonts w:ascii="Times New Roman;Times;serif" w:hAnsi="Times New Roman;Times;serif"/>
          <w:sz w:val="20"/>
        </w:rPr>
        <w:t>The current year loss relates primarily to four immaterial business dispositions with two closing in the first quarter and two closing in the second quarter of 2026. The prior year loss relates primarily to one immaterial business disposition that closed in the second quarter of 2025.</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Adjusted Net Income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further supplement our condensed consolidated financial statements in accordance with U.S. GAAP, we provide the computation of Adjusted Net Income attributable to the Company, which is defined as net income before noncontrolling interests adjusted for the following items: amortization of intangible assets, amortization of deferred financing costs and original issue discount related to the Company's debt, intangible impairment charges, certain transaction costs and other purchase accounting adjustments, business optimization expenses, provision for certain legal and regulatory charges, certain other specific provisions, mark-to-market gains and losses on a minority investment, other non-cash gains and losses, and adjusted net income attributable to non-controlling interests, as set forth in the reconciliation table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Adjusted Net Income is used by securities analysts, investors and other interested parties in the evaluation of our company’s operations. Management believes the disclosure of Adjusted Net Income offers an additional financial metric that, when used in conjunction with U.S. GAAP results and the reconciliation to U.S. GAAP results, provides a more complete understanding of our ongoing results of operations, and the factors and trends affecting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adjustments included in the reconciliation table listed below are presented to illustrate the operating performance of our business in a manner consistent with the presentation used by investors and securities analysts. Similar to the Adjusted EBITDA reconciliation, these adjustments eliminate the impact of a number of items we do not consider indicative of our ongoing operating performance or cash flows, such as amortization costs, transaction costs and write-offs relating to the retirement of debt.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Similar to Adjusted EBITDA, Adjusted Net Income does not represent, and should not be a substitute for, net income or cash flows from operations as determined in accordance with U.S. GAAP. Adjusted Net Income has limitations as an analytical tool, and you should not consider it in isolation, or as a substitute for analysis of our results as reported under U.S. GAAP. Some of the limitations are:</w:t>
      </w:r>
    </w:p>
    <w:p>
      <w:pPr>
        <w:pStyle w:val="TextBody"/>
        <w:bidi w:val="0"/>
        <w:spacing w:before="0" w:after="0"/>
        <w:ind w:left="0" w:right="0" w:hanging="0"/>
        <w:jc w:val="both"/>
        <w:rPr/>
      </w:pPr>
      <w:r>
        <w:rPr/>
        <w:t> </w:t>
      </w:r>
    </w:p>
    <w:tbl>
      <w:tblPr>
        <w:tblW w:w="8380" w:type="dxa"/>
        <w:jc w:val="left"/>
        <w:tblInd w:w="0" w:type="dxa"/>
        <w:tblLayout w:type="fixed"/>
        <w:tblCellMar>
          <w:top w:w="0" w:type="dxa"/>
          <w:left w:w="0" w:type="dxa"/>
          <w:bottom w:w="0" w:type="dxa"/>
          <w:right w:w="0" w:type="dxa"/>
        </w:tblCellMar>
      </w:tblPr>
      <w:tblGrid>
        <w:gridCol w:w="60"/>
        <w:gridCol w:w="110"/>
        <w:gridCol w:w="8210"/>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pPr>
            <w:r>
              <w:rPr/>
              <w:t>•</w:t>
            </w:r>
          </w:p>
        </w:tc>
        <w:tc>
          <w:tcPr>
            <w:tcW w:w="82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Adjusted Net Income does not reflect changes in, or cash requirements for, our working capital needs;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although amortization is a non-cash charge, the assets being amortized may have to be replaced in the future, and Adjusted Net Income does not reflect any cash requirements for such replacements; and</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companies may calculate Adjusted Net Income differently than we do, limiting its usefulness as a comparative measure.</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presents a reconciliation of net income to Adjusted Net Income attributable to Generac Holdings Inc.: </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5173"/>
        <w:gridCol w:w="60"/>
        <w:gridCol w:w="133"/>
        <w:gridCol w:w="1019"/>
        <w:gridCol w:w="85"/>
        <w:gridCol w:w="64"/>
        <w:gridCol w:w="133"/>
        <w:gridCol w:w="1019"/>
        <w:gridCol w:w="80"/>
        <w:gridCol w:w="60"/>
        <w:gridCol w:w="125"/>
        <w:gridCol w:w="952"/>
        <w:gridCol w:w="80"/>
        <w:gridCol w:w="60"/>
        <w:gridCol w:w="125"/>
        <w:gridCol w:w="952"/>
        <w:gridCol w:w="85"/>
      </w:tblGrid>
      <w:tr>
        <w:trPr/>
        <w:tc>
          <w:tcPr>
            <w:tcW w:w="51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5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5" w:type="dxa"/>
            <w:tcBorders/>
            <w:shd w:fill="FFFFFF" w:val="clear"/>
            <w:vAlign w:val="center"/>
          </w:tcPr>
          <w:p>
            <w:pPr>
              <w:pStyle w:val="TableContents"/>
              <w:bidi w:val="0"/>
              <w:spacing w:before="0" w:after="283"/>
              <w:jc w:val="left"/>
              <w:rPr/>
            </w:pPr>
            <w:r>
              <w:rPr/>
              <w:t> </w:t>
            </w:r>
          </w:p>
        </w:tc>
      </w:tr>
      <w:tr>
        <w:trPr/>
        <w:tc>
          <w:tcPr>
            <w:tcW w:w="5173"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Dollars in thousands, except share and per share data)</w:t>
            </w:r>
          </w:p>
        </w:tc>
        <w:tc>
          <w:tcPr>
            <w:tcW w:w="60" w:type="dxa"/>
            <w:tcBorders/>
            <w:shd w:fill="FFFFFF" w:val="clear"/>
            <w:vAlign w:val="center"/>
          </w:tcPr>
          <w:p>
            <w:pPr>
              <w:pStyle w:val="TableContents"/>
              <w:bidi w:val="0"/>
              <w:spacing w:before="0" w:after="283"/>
              <w:ind w:left="0" w:right="0" w:hanging="0"/>
              <w:jc w:val="left"/>
              <w:rPr/>
            </w:pPr>
            <w:r>
              <w:rPr/>
              <w:t> </w:t>
            </w:r>
          </w:p>
        </w:tc>
        <w:tc>
          <w:tcPr>
            <w:tcW w:w="115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15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5" w:type="dxa"/>
            <w:tcBorders/>
            <w:shd w:fill="FFFFFF" w:val="clear"/>
            <w:vAlign w:val="center"/>
          </w:tcPr>
          <w:p>
            <w:pPr>
              <w:pStyle w:val="TableContents"/>
              <w:bidi w:val="0"/>
              <w:spacing w:before="0" w:after="283"/>
              <w:jc w:val="left"/>
              <w:rPr/>
            </w:pPr>
            <w:r>
              <w:rPr/>
              <w:t> </w:t>
            </w:r>
          </w:p>
        </w:tc>
      </w:tr>
      <w:tr>
        <w:trPr/>
        <w:tc>
          <w:tcPr>
            <w:tcW w:w="51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r>
      <w:tr>
        <w:trPr/>
        <w:tc>
          <w:tcPr>
            <w:tcW w:w="517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attributable to Generac Holdings Inc.</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143,244</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216,497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117,856</w:t>
            </w:r>
          </w:p>
        </w:tc>
        <w:tc>
          <w:tcPr>
            <w:tcW w:w="85" w:type="dxa"/>
            <w:tcBorders/>
            <w:shd w:fill="CCEEFF" w:val="clear"/>
            <w:vAlign w:val="center"/>
          </w:tcPr>
          <w:p>
            <w:pPr>
              <w:pStyle w:val="TableContents"/>
              <w:bidi w:val="0"/>
              <w:spacing w:before="0" w:after="283"/>
              <w:jc w:val="left"/>
              <w:rPr/>
            </w:pPr>
            <w:r>
              <w:rPr/>
              <w:t> </w:t>
            </w:r>
          </w:p>
        </w:tc>
      </w:tr>
      <w:tr>
        <w:trPr/>
        <w:tc>
          <w:tcPr>
            <w:tcW w:w="517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w:t>
            </w:r>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852</w:t>
            </w:r>
          </w:p>
        </w:tc>
        <w:tc>
          <w:tcPr>
            <w:tcW w:w="85" w:type="dxa"/>
            <w:tcBorders/>
            <w:shd w:fill="FFFFFF" w:val="clear"/>
            <w:vAlign w:val="center"/>
          </w:tcPr>
          <w:p>
            <w:pPr>
              <w:pStyle w:val="TableContents"/>
              <w:bidi w:val="0"/>
              <w:spacing w:before="0" w:after="283"/>
              <w:jc w:val="left"/>
              <w:rPr/>
            </w:pPr>
            <w:r>
              <w:rPr/>
              <w:t> </w:t>
            </w:r>
          </w:p>
        </w:tc>
      </w:tr>
      <w:tr>
        <w:trPr/>
        <w:tc>
          <w:tcPr>
            <w:tcW w:w="517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143,010</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74,430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216,122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118,708</w:t>
            </w:r>
          </w:p>
        </w:tc>
        <w:tc>
          <w:tcPr>
            <w:tcW w:w="85" w:type="dxa"/>
            <w:tcBorders/>
            <w:shd w:fill="CCEEFF" w:val="clear"/>
            <w:vAlign w:val="center"/>
          </w:tcPr>
          <w:p>
            <w:pPr>
              <w:pStyle w:val="TableContents"/>
              <w:bidi w:val="0"/>
              <w:spacing w:before="0" w:after="283"/>
              <w:jc w:val="left"/>
              <w:rPr/>
            </w:pPr>
            <w:r>
              <w:rPr/>
              <w:t> </w:t>
            </w:r>
          </w:p>
        </w:tc>
      </w:tr>
      <w:tr>
        <w:trPr/>
        <w:tc>
          <w:tcPr>
            <w:tcW w:w="517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30,815</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51,170</w:t>
            </w:r>
          </w:p>
        </w:tc>
        <w:tc>
          <w:tcPr>
            <w:tcW w:w="85" w:type="dxa"/>
            <w:tcBorders/>
            <w:shd w:fill="FFFFFF" w:val="clear"/>
            <w:vAlign w:val="center"/>
          </w:tcPr>
          <w:p>
            <w:pPr>
              <w:pStyle w:val="TableContents"/>
              <w:bidi w:val="0"/>
              <w:spacing w:before="0" w:after="283"/>
              <w:jc w:val="left"/>
              <w:rPr/>
            </w:pPr>
            <w:r>
              <w:rPr/>
              <w:t> </w:t>
            </w:r>
          </w:p>
        </w:tc>
      </w:tr>
      <w:tr>
        <w:trPr/>
        <w:tc>
          <w:tcPr>
            <w:tcW w:w="517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deferred financing costs and original issue discount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1,278</w:t>
            </w:r>
          </w:p>
        </w:tc>
        <w:tc>
          <w:tcPr>
            <w:tcW w:w="85" w:type="dxa"/>
            <w:tcBorders/>
            <w:shd w:fill="CCEEFF" w:val="clear"/>
            <w:vAlign w:val="center"/>
          </w:tcPr>
          <w:p>
            <w:pPr>
              <w:pStyle w:val="TableContents"/>
              <w:bidi w:val="0"/>
              <w:spacing w:before="0" w:after="283"/>
              <w:jc w:val="left"/>
              <w:rPr/>
            </w:pPr>
            <w:r>
              <w:rPr/>
              <w:t> </w:t>
            </w:r>
          </w:p>
        </w:tc>
      </w:tr>
      <w:tr>
        <w:trPr/>
        <w:tc>
          <w:tcPr>
            <w:tcW w:w="517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Transaction costs and other purchase accounting adjustments (a)</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712</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w:t>
            </w:r>
          </w:p>
        </w:tc>
        <w:tc>
          <w:tcPr>
            <w:tcW w:w="85" w:type="dxa"/>
            <w:tcBorders/>
            <w:shd w:fill="FFFFFF" w:val="clear"/>
            <w:vAlign w:val="center"/>
          </w:tcPr>
          <w:p>
            <w:pPr>
              <w:pStyle w:val="TableContents"/>
              <w:bidi w:val="0"/>
              <w:spacing w:before="0" w:after="283"/>
              <w:jc w:val="left"/>
              <w:rPr/>
            </w:pPr>
            <w:r>
              <w:rPr/>
              <w:t> </w:t>
            </w:r>
          </w:p>
        </w:tc>
      </w:tr>
      <w:tr>
        <w:trPr/>
        <w:tc>
          <w:tcPr>
            <w:tcW w:w="517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attributable to business or asset dispositions (c)</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13,456</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4,295</w:t>
            </w:r>
          </w:p>
        </w:tc>
        <w:tc>
          <w:tcPr>
            <w:tcW w:w="85" w:type="dxa"/>
            <w:tcBorders/>
            <w:shd w:fill="CCEEFF" w:val="clear"/>
            <w:vAlign w:val="center"/>
          </w:tcPr>
          <w:p>
            <w:pPr>
              <w:pStyle w:val="TableContents"/>
              <w:bidi w:val="0"/>
              <w:spacing w:before="0" w:after="283"/>
              <w:jc w:val="left"/>
              <w:rPr/>
            </w:pPr>
            <w:r>
              <w:rPr/>
              <w:t> </w:t>
            </w:r>
          </w:p>
        </w:tc>
      </w:tr>
      <w:tr>
        <w:trPr/>
        <w:tc>
          <w:tcPr>
            <w:tcW w:w="517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Business optimization and other charges (b)</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2,351</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5,017</w:t>
            </w:r>
          </w:p>
        </w:tc>
        <w:tc>
          <w:tcPr>
            <w:tcW w:w="85" w:type="dxa"/>
            <w:tcBorders/>
            <w:shd w:fill="FFFFFF" w:val="clear"/>
            <w:vAlign w:val="center"/>
          </w:tcPr>
          <w:p>
            <w:pPr>
              <w:pStyle w:val="TableContents"/>
              <w:bidi w:val="0"/>
              <w:spacing w:before="0" w:after="283"/>
              <w:jc w:val="left"/>
              <w:rPr/>
            </w:pPr>
            <w:r>
              <w:rPr/>
              <w:t> </w:t>
            </w:r>
          </w:p>
        </w:tc>
      </w:tr>
      <w:tr>
        <w:trPr/>
        <w:tc>
          <w:tcPr>
            <w:tcW w:w="517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legal, regulatory, and other costs (b)</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(951</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8,662</w:t>
            </w:r>
          </w:p>
        </w:tc>
        <w:tc>
          <w:tcPr>
            <w:tcW w:w="85" w:type="dxa"/>
            <w:tcBorders/>
            <w:shd w:fill="CCEEFF" w:val="clear"/>
            <w:vAlign w:val="center"/>
          </w:tcPr>
          <w:p>
            <w:pPr>
              <w:pStyle w:val="TableContents"/>
              <w:bidi w:val="0"/>
              <w:spacing w:before="0" w:after="283"/>
              <w:jc w:val="left"/>
              <w:rPr/>
            </w:pPr>
            <w:r>
              <w:rPr/>
              <w:t> </w:t>
            </w:r>
          </w:p>
        </w:tc>
      </w:tr>
      <w:tr>
        <w:trPr/>
        <w:tc>
          <w:tcPr>
            <w:tcW w:w="517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investments (b)</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(5,916</w:t>
            </w:r>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11,471</w:t>
            </w:r>
          </w:p>
        </w:tc>
        <w:tc>
          <w:tcPr>
            <w:tcW w:w="85" w:type="dxa"/>
            <w:tcBorders/>
            <w:shd w:fill="FFFFFF" w:val="clear"/>
            <w:vAlign w:val="center"/>
          </w:tcPr>
          <w:p>
            <w:pPr>
              <w:pStyle w:val="TableContents"/>
              <w:bidi w:val="0"/>
              <w:spacing w:before="0" w:after="283"/>
              <w:jc w:val="left"/>
              <w:rPr/>
            </w:pPr>
            <w:r>
              <w:rPr/>
              <w:t> </w:t>
            </w:r>
          </w:p>
        </w:tc>
      </w:tr>
      <w:tr>
        <w:trPr/>
        <w:tc>
          <w:tcPr>
            <w:tcW w:w="517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effect of add backs</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(10,150</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(17,138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(21,035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(27,507</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7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net income</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173,873</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97,742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280,078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173,546</w:t>
            </w:r>
          </w:p>
        </w:tc>
        <w:tc>
          <w:tcPr>
            <w:tcW w:w="85" w:type="dxa"/>
            <w:tcBorders/>
            <w:shd w:fill="FFFFFF" w:val="clear"/>
            <w:vAlign w:val="center"/>
          </w:tcPr>
          <w:p>
            <w:pPr>
              <w:pStyle w:val="TableContents"/>
              <w:bidi w:val="0"/>
              <w:spacing w:before="0" w:after="283"/>
              <w:jc w:val="left"/>
              <w:rPr/>
            </w:pPr>
            <w:r>
              <w:rPr/>
              <w:t> </w:t>
            </w:r>
          </w:p>
        </w:tc>
      </w:tr>
      <w:tr>
        <w:trPr/>
        <w:tc>
          <w:tcPr>
            <w:tcW w:w="517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net income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852</w:t>
            </w:r>
          </w:p>
        </w:tc>
        <w:tc>
          <w:tcPr>
            <w:tcW w:w="85" w:type="dxa"/>
            <w:tcBorders/>
            <w:shd w:fill="CCEEFF" w:val="clear"/>
            <w:vAlign w:val="center"/>
          </w:tcPr>
          <w:p>
            <w:pPr>
              <w:pStyle w:val="TableContents"/>
              <w:bidi w:val="0"/>
              <w:spacing w:before="0" w:after="283"/>
              <w:jc w:val="left"/>
              <w:rPr/>
            </w:pPr>
            <w:r>
              <w:rPr/>
              <w:t> </w:t>
            </w:r>
          </w:p>
        </w:tc>
      </w:tr>
      <w:tr>
        <w:trPr/>
        <w:tc>
          <w:tcPr>
            <w:tcW w:w="517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net income attributable to Generac Holdings Inc.</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173,639</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97,328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279,703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172,694</w:t>
            </w:r>
          </w:p>
        </w:tc>
        <w:tc>
          <w:tcPr>
            <w:tcW w:w="85" w:type="dxa"/>
            <w:tcBorders/>
            <w:shd w:fill="FFFFFF" w:val="clear"/>
            <w:vAlign w:val="center"/>
          </w:tcPr>
          <w:p>
            <w:pPr>
              <w:pStyle w:val="TableContents"/>
              <w:bidi w:val="0"/>
              <w:spacing w:before="0" w:after="283"/>
              <w:jc w:val="left"/>
              <w:rPr/>
            </w:pPr>
            <w:r>
              <w:rPr/>
              <w:t> </w:t>
            </w:r>
          </w:p>
        </w:tc>
      </w:tr>
      <w:tr>
        <w:trPr/>
        <w:tc>
          <w:tcPr>
            <w:tcW w:w="51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r>
      <w:tr>
        <w:trPr/>
        <w:tc>
          <w:tcPr>
            <w:tcW w:w="517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net income per common share attributable to Generac Holdings Inc. - 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3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w:t>
            </w:r>
          </w:p>
        </w:tc>
        <w:tc>
          <w:tcPr>
            <w:tcW w:w="85" w:type="dxa"/>
            <w:tcBorders/>
            <w:shd w:fill="FFFFFF" w:val="clear"/>
            <w:vAlign w:val="center"/>
          </w:tcPr>
          <w:p>
            <w:pPr>
              <w:pStyle w:val="TableContents"/>
              <w:bidi w:val="0"/>
              <w:spacing w:before="0" w:after="283"/>
              <w:jc w:val="left"/>
              <w:rPr/>
            </w:pPr>
            <w:r>
              <w:rPr/>
              <w:t> </w:t>
            </w:r>
          </w:p>
        </w:tc>
      </w:tr>
      <w:tr>
        <w:trPr/>
        <w:tc>
          <w:tcPr>
            <w:tcW w:w="517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shares outstanding - diluted:</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59,635,447</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59,017,823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59,436,379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59,385,907</w:t>
            </w:r>
          </w:p>
        </w:tc>
        <w:tc>
          <w:tcPr>
            <w:tcW w:w="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r>
        <w:rPr>
          <w:rFonts w:ascii="Times New Roman;Times;serif" w:hAnsi="Times New Roman;Times;serif"/>
          <w:sz w:val="20"/>
          <w:shd w:fill="FFFFFF" w:val="clear"/>
        </w:rPr>
        <w:t>)  Represents transaction costs incurred directly in connection with any investment, as defined in our credit agreement, equity issuance or debt issuance or refinancing, and certain purchase accounting and contingent consideration adjustments.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(b)  See reconciliation of net income to Adjusted EBITDA attributable to Generac Holdings Inc. above.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(c)  </w:t>
      </w:r>
      <w:r>
        <w:rPr>
          <w:rFonts w:ascii="Times New Roman;Times;serif" w:hAnsi="Times New Roman;Times;serif"/>
          <w:sz w:val="20"/>
        </w:rPr>
        <w:t>The current year loss relates primarily to four immaterial business dispositions with two closing in the first quarter and two closing in the second quarter of 2026. The prior year loss relates primarily to one immaterial business disposition that closed in the second quarter of 2025.</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New Accounting Standards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Refer to Note 1, “Description of Business and Basis of Presentation,” to the condensed consolidated financial statements for further information on the new accounting standards applicable to the Company.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bookmarkStart w:id="10" w:name="item3"/>
      <w:bookmarkEnd w:id="10"/>
      <w:r>
        <w:rPr>
          <w:rFonts w:ascii="Times New Roman;Times;serif" w:hAnsi="Times New Roman;Times;serif"/>
          <w:b/>
          <w:sz w:val="20"/>
        </w:rPr>
        <w:t>Item 3.          Quantitative</w:t>
      </w:r>
      <w:r>
        <w:rPr>
          <w:rFonts w:ascii="Times New Roman;Times;serif" w:hAnsi="Times New Roman;Times;serif"/>
          <w:sz w:val="20"/>
        </w:rPr>
        <w:t xml:space="preserve"> </w:t>
      </w:r>
      <w:r>
        <w:rPr>
          <w:rFonts w:ascii="Times New Roman;Times;serif" w:hAnsi="Times New Roman;Times;serif"/>
          <w:b/>
          <w:sz w:val="20"/>
        </w:rPr>
        <w:t>and Qualitative Disclosures about Market Risk</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Refer to Note 4, “Derivative Instruments and Hedging Activities,” to the condensed consolidated financial statements for a discussion of the Wallbox warrant derivative instruments, changes in commodity, currency and interest rate related risks, and other hedging activities. Otherwise, there have been no material changes in market risk from the information provided in Item 7A (Quantitative and Qualitative Disclosures About Market Risk) of our Annual Report on Form 10-K for the year ended December 31, 2025.</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bookmarkStart w:id="11" w:name="item4"/>
      <w:bookmarkEnd w:id="11"/>
      <w:r>
        <w:rPr>
          <w:rFonts w:ascii="Times New Roman;Times;serif" w:hAnsi="Times New Roman;Times;serif"/>
          <w:b/>
          <w:sz w:val="20"/>
        </w:rPr>
        <w:t>Item 4.           Controls and Procedures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Disclosure Controls and Procedures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Under the supervision and with the participation of our management, including our Chief Executive Officer and Chief Financial Officer, we conducted an evaluation of our disclosure controls and procedures, as such term is defined under Rule 13a-15(e) or 15d-15(e) promulgated under the Securities Exchange Act of 1934, as amended, or the Exchange Act. Based on this evaluation, our principal executive officer and our principal financial officer concluded that our disclosure controls and procedures were effective as of the end of the period covered by this report.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have been no changes during the three months ended June 30, 2026 in our internal control over financial reporting (as defined in Exchange Act Rule 13a-15(f)) that have materially affected, or are reasonably likely to materially affect, our internal control over financial reporting.</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Times;serif" w:hAnsi="Times New Roman;Times;serif"/>
          <w:b/>
          <w:sz w:val="20"/>
        </w:rPr>
      </w:pPr>
      <w:bookmarkStart w:id="12" w:name="part2"/>
      <w:bookmarkEnd w:id="12"/>
      <w:r>
        <w:rPr>
          <w:rFonts w:ascii="Times New Roman;Times;serif" w:hAnsi="Times New Roman;Times;serif"/>
          <w:b/>
          <w:sz w:val="20"/>
        </w:rPr>
        <w:t>PART II. OTHER INFORMATION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bookmarkStart w:id="13" w:name="legal"/>
      <w:bookmarkEnd w:id="13"/>
      <w:r>
        <w:rPr>
          <w:rFonts w:ascii="Times New Roman;Times;serif" w:hAnsi="Times New Roman;Times;serif"/>
          <w:b/>
          <w:sz w:val="20"/>
        </w:rPr>
        <w:t>Item 1.          Legal Proceedings</w:t>
      </w:r>
    </w:p>
    <w:p>
      <w:pPr>
        <w:pStyle w:val="TextBody"/>
        <w:bidi w:val="0"/>
        <w:spacing w:before="0" w:after="0"/>
        <w:ind w:left="0" w:right="0" w:hanging="0"/>
        <w:jc w:val="both"/>
        <w:rPr/>
      </w:pPr>
      <w:r>
        <w:rPr/>
        <w:t> </w:t>
      </w:r>
    </w:p>
    <w:p>
      <w:pPr>
        <w:pStyle w:val="TextBody"/>
        <w:bidi w:val="0"/>
        <w:spacing w:before="0" w:after="0"/>
        <w:ind w:left="0" w:right="0" w:hanging="0"/>
        <w:jc w:val="both"/>
        <w:rPr/>
      </w:pPr>
      <w:hyperlink w:anchor="comandcon">
        <w:r>
          <w:rPr>
            <w:rStyle w:val="InternetLink"/>
            <w:rFonts w:ascii="Times New Roman;Times;serif" w:hAnsi="Times New Roman;Times;serif"/>
            <w:color w:val="000000"/>
            <w:sz w:val="20"/>
          </w:rPr>
          <w:t>See Note 16, "Commitments and Contingencies," to the condensed consolidated financial statements for further information on the Company's legal proceedings.</w:t>
        </w:r>
      </w:hyperlink>
    </w:p>
    <w:p>
      <w:pPr>
        <w:pStyle w:val="TextBody"/>
        <w:bidi w:val="0"/>
        <w:spacing w:before="0" w:after="283"/>
        <w:jc w:val="left"/>
        <w:rPr/>
      </w:pPr>
      <w:r>
        <w:rPr/>
        <w:t xml:space="preserve">  </w:t>
      </w:r>
    </w:p>
    <w:p>
      <w:pPr>
        <w:pStyle w:val="TextBody"/>
        <w:bidi w:val="0"/>
        <w:spacing w:before="0" w:after="0"/>
        <w:ind w:left="0" w:right="0" w:hanging="0"/>
        <w:jc w:val="both"/>
        <w:rPr>
          <w:rFonts w:ascii="Times New Roman;Times;serif" w:hAnsi="Times New Roman;Times;serif"/>
          <w:b/>
          <w:sz w:val="20"/>
        </w:rPr>
      </w:pPr>
      <w:bookmarkStart w:id="14" w:name="risk"/>
      <w:bookmarkEnd w:id="14"/>
      <w:r>
        <w:rPr>
          <w:rFonts w:ascii="Times New Roman;Times;serif" w:hAnsi="Times New Roman;Times;serif"/>
          <w:b/>
          <w:sz w:val="20"/>
        </w:rPr>
        <w:t>Item 1A.       Risk Factors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have been no material changes in our risk factors since the February 18, 2026, filing of our Annual Report on Form 10-K for the year ended December 31, 2025.</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bookmarkStart w:id="15" w:name="unreg"/>
      <w:bookmarkEnd w:id="15"/>
      <w:r>
        <w:rPr>
          <w:rFonts w:ascii="Times New Roman;Times;serif" w:hAnsi="Times New Roman;Times;serif"/>
          <w:b/>
          <w:sz w:val="20"/>
        </w:rPr>
        <w:t>Item 2.      </w:t>
      </w:r>
      <w:r>
        <w:rPr>
          <w:rFonts w:ascii="Times New Roman;Times;serif" w:hAnsi="Times New Roman;Times;serif"/>
          <w:sz w:val="20"/>
        </w:rPr>
        <w:t>     </w:t>
      </w:r>
      <w:r>
        <w:rPr>
          <w:rFonts w:ascii="Times New Roman;Times;serif" w:hAnsi="Times New Roman;Times;serif"/>
          <w:b/>
          <w:sz w:val="20"/>
        </w:rPr>
        <w:t>Unregistered Sales of Equity Securities and Use of Proceeds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the stock repurchase activity for the three months ended June 30, 2026, which consisted of the withholding of shares upon the vesting of restricted stock awards to pay related withholding taxes on behalf of the recipient:</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939"/>
        <w:gridCol w:w="60"/>
        <w:gridCol w:w="164"/>
        <w:gridCol w:w="1337"/>
        <w:gridCol w:w="60"/>
        <w:gridCol w:w="60"/>
        <w:gridCol w:w="219"/>
        <w:gridCol w:w="1039"/>
        <w:gridCol w:w="60"/>
        <w:gridCol w:w="60"/>
        <w:gridCol w:w="1205"/>
        <w:gridCol w:w="1611"/>
        <w:gridCol w:w="60"/>
        <w:gridCol w:w="60"/>
        <w:gridCol w:w="339"/>
        <w:gridCol w:w="2868"/>
        <w:gridCol w:w="64"/>
      </w:tblGrid>
      <w:tr>
        <w:trPr/>
        <w:tc>
          <w:tcPr>
            <w:tcW w:w="9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Number of Shares Purchased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 Price Paid 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8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Number Of Shares Purchased As Part Of Publicly Announced Plans Or Programs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2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Approximate Dollar Value Of Shares That May Yet Be Purchased Under The Plans Or Programs</w:t>
            </w:r>
          </w:p>
        </w:tc>
        <w:tc>
          <w:tcPr>
            <w:tcW w:w="64" w:type="dxa"/>
            <w:tcBorders/>
            <w:vAlign w:val="center"/>
          </w:tcPr>
          <w:p>
            <w:pPr>
              <w:pStyle w:val="TableContents"/>
              <w:bidi w:val="0"/>
              <w:spacing w:before="0" w:after="283"/>
              <w:jc w:val="left"/>
              <w:rPr/>
            </w:pPr>
            <w:r>
              <w:rPr/>
              <w:t> </w:t>
            </w:r>
          </w:p>
        </w:tc>
      </w:tr>
      <w:tr>
        <w:trPr/>
        <w:tc>
          <w:tcPr>
            <w:tcW w:w="9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3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16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pPr>
            <w:r>
              <w:rPr/>
              <w:t> </w:t>
            </w:r>
          </w:p>
        </w:tc>
        <w:tc>
          <w:tcPr>
            <w:tcW w:w="2868"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r>
      <w:tr>
        <w:trPr/>
        <w:tc>
          <w:tcPr>
            <w:tcW w:w="9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04/01/2026 – 04/30/2026</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13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ind w:left="0" w:right="0" w:hanging="0"/>
              <w:jc w:val="left"/>
              <w:rPr/>
            </w:pPr>
            <w:r>
              <w:rPr/>
              <w:t> </w:t>
            </w:r>
          </w:p>
        </w:tc>
        <w:tc>
          <w:tcPr>
            <w:tcW w:w="16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8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500,000,000</w:t>
            </w:r>
          </w:p>
        </w:tc>
        <w:tc>
          <w:tcPr>
            <w:tcW w:w="64" w:type="dxa"/>
            <w:tcBorders/>
            <w:shd w:fill="CCEEFF" w:val="clear"/>
            <w:vAlign w:val="center"/>
          </w:tcPr>
          <w:p>
            <w:pPr>
              <w:pStyle w:val="TableContents"/>
              <w:bidi w:val="0"/>
              <w:spacing w:before="0" w:after="283"/>
              <w:jc w:val="left"/>
              <w:rPr/>
            </w:pPr>
            <w:r>
              <w:rPr/>
              <w:t> </w:t>
            </w:r>
          </w:p>
        </w:tc>
      </w:tr>
      <w:tr>
        <w:trPr/>
        <w:tc>
          <w:tcPr>
            <w:tcW w:w="93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05/01/2026 – 05/31/2026</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13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9" w:type="dxa"/>
            <w:tcBorders/>
            <w:shd w:fill="FFFFFF" w:val="clear"/>
            <w:vAlign w:val="center"/>
          </w:tcPr>
          <w:p>
            <w:pPr>
              <w:pStyle w:val="TableContents"/>
              <w:bidi w:val="0"/>
              <w:spacing w:before="0" w:after="283"/>
              <w:ind w:left="0" w:right="0" w:hanging="0"/>
              <w:jc w:val="left"/>
              <w:rPr/>
            </w:pPr>
            <w:r>
              <w:rPr/>
              <w:t> </w:t>
            </w:r>
          </w:p>
        </w:tc>
        <w:tc>
          <w:tcPr>
            <w:tcW w:w="10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ind w:left="0" w:right="0" w:hanging="0"/>
              <w:jc w:val="left"/>
              <w:rPr/>
            </w:pPr>
            <w:r>
              <w:rPr/>
              <w:t> </w:t>
            </w:r>
          </w:p>
        </w:tc>
        <w:tc>
          <w:tcPr>
            <w:tcW w:w="16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8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500,000,000</w:t>
            </w:r>
          </w:p>
        </w:tc>
        <w:tc>
          <w:tcPr>
            <w:tcW w:w="64" w:type="dxa"/>
            <w:tcBorders/>
            <w:shd w:fill="FFFFFF" w:val="clear"/>
            <w:vAlign w:val="center"/>
          </w:tcPr>
          <w:p>
            <w:pPr>
              <w:pStyle w:val="TableContents"/>
              <w:bidi w:val="0"/>
              <w:spacing w:before="0" w:after="283"/>
              <w:jc w:val="left"/>
              <w:rPr/>
            </w:pPr>
            <w:r>
              <w:rPr/>
              <w:t> </w:t>
            </w:r>
          </w:p>
        </w:tc>
      </w:tr>
      <w:tr>
        <w:trPr/>
        <w:tc>
          <w:tcPr>
            <w:tcW w:w="9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06/01/2026 – 06/30/2026</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9" w:type="dxa"/>
            <w:tcBorders/>
            <w:shd w:fill="CCEEFF" w:val="clear"/>
            <w:vAlign w:val="center"/>
          </w:tcPr>
          <w:p>
            <w:pPr>
              <w:pStyle w:val="TableContents"/>
              <w:bidi w:val="0"/>
              <w:spacing w:before="0" w:after="283"/>
              <w:ind w:left="0" w:right="0" w:hanging="0"/>
              <w:jc w:val="left"/>
              <w:rPr/>
            </w:pPr>
            <w:r>
              <w:rPr/>
              <w:t> </w:t>
            </w:r>
          </w:p>
        </w:tc>
        <w:tc>
          <w:tcPr>
            <w:tcW w:w="10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ind w:left="0" w:right="0" w:hanging="0"/>
              <w:jc w:val="left"/>
              <w:rPr/>
            </w:pPr>
            <w:r>
              <w:rPr/>
              <w:t> </w:t>
            </w:r>
          </w:p>
        </w:tc>
        <w:tc>
          <w:tcPr>
            <w:tcW w:w="16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8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500,000,000</w:t>
            </w:r>
          </w:p>
        </w:tc>
        <w:tc>
          <w:tcPr>
            <w:tcW w:w="64" w:type="dxa"/>
            <w:tcBorders/>
            <w:shd w:fill="CCEEFF" w:val="clear"/>
            <w:vAlign w:val="center"/>
          </w:tcPr>
          <w:p>
            <w:pPr>
              <w:pStyle w:val="TableContents"/>
              <w:bidi w:val="0"/>
              <w:spacing w:before="0" w:after="283"/>
              <w:jc w:val="left"/>
              <w:rPr/>
            </w:pPr>
            <w:r>
              <w:rPr/>
              <w:t> </w:t>
            </w:r>
          </w:p>
        </w:tc>
      </w:tr>
      <w:tr>
        <w:trPr/>
        <w:tc>
          <w:tcPr>
            <w:tcW w:w="939"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pPr>
            <w:r>
              <w:rPr/>
              <w:t> </w:t>
            </w:r>
          </w:p>
        </w:tc>
        <w:tc>
          <w:tcPr>
            <w:tcW w:w="16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2868" w:type="dxa"/>
            <w:tcBorders/>
            <w:shd w:fill="FFFFFF" w:val="clear"/>
            <w:vAlign w:val="center"/>
          </w:tcPr>
          <w:p>
            <w:pPr>
              <w:pStyle w:val="TableContents"/>
              <w:bidi w:val="0"/>
              <w:spacing w:before="0" w:after="283"/>
              <w:jc w:val="right"/>
              <w:rPr/>
            </w:pPr>
            <w:r>
              <w:rPr/>
              <w:t> </w:t>
            </w:r>
          </w:p>
        </w:tc>
        <w:tc>
          <w:tcPr>
            <w:tcW w:w="6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For equity compensation plan information, please refer to our Annual Report on Form 10-K for the year ended December 31, 2025. For information on the Company’s stock repurchase plans, refer to Note 13, “Stock Repurchase Program,” to the condensed consolidated financial statements included in Item 1 of this Quarterly Report on Form 10-Q.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April 1, 2026, the Company issued 247,321 shares of its common stock to the former owners of Enercon, as partial consideration for the acquisition of all of the outstanding shares of Enercon. In addition, pursuant to the terms of the acquisition agreement, the Company may in the future issue additional shares of its common stock to the former owners of Enercon as contingent deferred consideration for the acquisition. The number of such additional shares that may be issued, if any, is not yet determinable. The shares issued at closing were, and any shares issued as future contingent consideration would be, issued in a private transaction not involving any public offering, in reliance on the exemption from registration provided by Section 4(a)(2) of the Securities Act of 1933, as amended.</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bookmarkStart w:id="16" w:name="defaults"/>
      <w:bookmarkEnd w:id="16"/>
      <w:r>
        <w:rPr>
          <w:rFonts w:ascii="Times New Roman" w:hAnsi="Times New Roman"/>
          <w:b/>
          <w:sz w:val="20"/>
        </w:rPr>
        <w:t xml:space="preserve">Item 3. </w:t>
      </w:r>
      <w:r>
        <w:rPr>
          <w:rFonts w:ascii="Times New Roman" w:hAnsi="Times New Roman"/>
          <w:sz w:val="20"/>
        </w:rPr>
        <w:t xml:space="preserve">          </w:t>
      </w:r>
      <w:r>
        <w:rPr>
          <w:rFonts w:ascii="Times New Roman" w:hAnsi="Times New Roman"/>
          <w:b/>
          <w:sz w:val="20"/>
        </w:rPr>
        <w:t>Defaults Upon Senior Securities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None.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bookmarkStart w:id="17" w:name="mine"/>
      <w:bookmarkEnd w:id="17"/>
      <w:r>
        <w:rPr>
          <w:rFonts w:ascii="Times New Roman" w:hAnsi="Times New Roman"/>
          <w:b/>
          <w:sz w:val="20"/>
        </w:rPr>
        <w:t xml:space="preserve">Item 4. </w:t>
      </w:r>
      <w:r>
        <w:rPr>
          <w:rFonts w:ascii="Times New Roman" w:hAnsi="Times New Roman"/>
          <w:sz w:val="20"/>
        </w:rPr>
        <w:t>          </w:t>
      </w:r>
      <w:r>
        <w:rPr>
          <w:rFonts w:ascii="Times New Roman" w:hAnsi="Times New Roman"/>
          <w:b/>
          <w:sz w:val="20"/>
        </w:rPr>
        <w:t>Mine Safety Disclosures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None.</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18" w:name="other"/>
      <w:bookmarkEnd w:id="18"/>
      <w:r>
        <w:rPr>
          <w:rFonts w:ascii="Times New Roman;Times;serif" w:hAnsi="Times New Roman;Times;serif"/>
          <w:b/>
          <w:sz w:val="20"/>
        </w:rPr>
        <w:t xml:space="preserve">Item </w:t>
      </w:r>
      <w:r>
        <w:rPr>
          <w:rStyle w:val="Emphasis"/>
          <w:rFonts w:ascii="Times New Roman;Times;serif" w:hAnsi="Times New Roman;Times;serif"/>
          <w:b/>
          <w:sz w:val="20"/>
        </w:rPr>
        <w:t>5.</w:t>
      </w:r>
      <w:r>
        <w:rPr>
          <w:rFonts w:ascii="Times New Roman;Times;serif" w:hAnsi="Times New Roman;Times;serif"/>
          <w:b/>
          <w:sz w:val="20"/>
        </w:rPr>
        <w:t xml:space="preserve">           Other Information</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5, 2026, </w:t>
      </w:r>
      <w:r>
        <w:rPr>
          <w:rFonts w:ascii="Times New Roman" w:hAnsi="Times New Roman"/>
          <w:caps w:val="false"/>
          <w:smallCaps w:val="false"/>
          <w:sz w:val="20"/>
        </w:rPr>
        <w:t xml:space="preserve">Kyle Raabe, Executive Vice President &amp; President, Home Power Generation, adopted a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plan that is intended to satisfy the affirmative defense in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(c) for the (i) sale of up to 1,939 shares of the Company’s common stock, and (ii) exercise and sale of up to 1,063 stock options, until </w:t>
      </w:r>
      <w:r>
        <w:rPr>
          <w:rStyle w:val="Emphasis"/>
          <w:rFonts w:ascii="Times New Roman" w:hAnsi="Times New Roman"/>
          <w:caps w:val="false"/>
          <w:smallCaps w:val="false"/>
          <w:sz w:val="20"/>
        </w:rPr>
        <w:t>December 31, 2026.</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sz w:val="20"/>
        </w:rPr>
      </w:pPr>
      <w:bookmarkStart w:id="19" w:name="item6"/>
      <w:bookmarkEnd w:id="19"/>
      <w:r>
        <w:rPr>
          <w:rFonts w:ascii="Times New Roman;Times;serif" w:hAnsi="Times New Roman;Times;serif"/>
          <w:b/>
          <w:sz w:val="20"/>
        </w:rPr>
        <w:t xml:space="preserve">Item 6. </w:t>
      </w:r>
      <w:r>
        <w:rPr>
          <w:rFonts w:ascii="Times New Roman;Times;serif" w:hAnsi="Times New Roman;Times;serif"/>
          <w:sz w:val="20"/>
        </w:rPr>
        <w:t>          </w:t>
      </w:r>
      <w:r>
        <w:rPr>
          <w:rFonts w:ascii="Times New Roman;Times;serif" w:hAnsi="Times New Roman;Times;serif"/>
          <w:b/>
          <w:sz w:val="20"/>
        </w:rPr>
        <w:t xml:space="preserve">Exhibits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2" w:space="0" w:color="000000"/>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Exhibits</w:t>
              <w:br/>
              <w:t>Number</w:t>
            </w:r>
          </w:p>
        </w:tc>
        <w:tc>
          <w:tcPr>
            <w:tcW w:w="60" w:type="dxa"/>
            <w:tcBorders/>
            <w:tcMar>
              <w:bottom w:w="0" w:type="dxa"/>
            </w:tcMar>
            <w:vAlign w:val="center"/>
          </w:tcPr>
          <w:p>
            <w:pPr>
              <w:pStyle w:val="TableContents"/>
              <w:bidi w:val="0"/>
              <w:spacing w:before="0" w:after="283"/>
              <w:jc w:val="left"/>
              <w:rPr/>
            </w:pPr>
            <w:r>
              <w:rPr/>
              <w:t> </w:t>
            </w:r>
          </w:p>
        </w:tc>
        <w:tc>
          <w:tcPr>
            <w:tcW w:w="942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785" w:type="dxa"/>
            <w:gridSpan w:val="2"/>
            <w:tcBorders/>
            <w:tcMar>
              <w:bottom w:w="0" w:type="dxa"/>
            </w:tcMar>
            <w:vAlign w:val="center"/>
          </w:tcPr>
          <w:p>
            <w:pPr>
              <w:pStyle w:val="TableContents"/>
              <w:bidi w:val="0"/>
              <w:spacing w:before="0" w:after="283"/>
              <w:jc w:val="both"/>
              <w:rPr/>
            </w:pPr>
            <w:r>
              <w:rPr/>
              <w:t> </w:t>
            </w:r>
          </w:p>
        </w:tc>
        <w:tc>
          <w:tcPr>
            <w:tcW w:w="9420" w:type="dxa"/>
            <w:tcBorders/>
            <w:tcMar>
              <w:bottom w:w="0" w:type="dxa"/>
            </w:tcMar>
            <w:vAlign w:val="center"/>
          </w:tcPr>
          <w:p>
            <w:pPr>
              <w:pStyle w:val="TableContents"/>
              <w:bidi w:val="0"/>
              <w:spacing w:before="0" w:after="283"/>
              <w:jc w:val="both"/>
              <w:rPr/>
            </w:pPr>
            <w:r>
              <w:rPr/>
              <w:t> </w:t>
            </w:r>
          </w:p>
        </w:tc>
      </w:tr>
      <w:tr>
        <w:trPr/>
        <w:tc>
          <w:tcPr>
            <w:tcW w:w="785" w:type="dxa"/>
            <w:gridSpan w:val="2"/>
            <w:tcBorders/>
            <w:tcMar>
              <w:bottom w:w="0" w:type="dxa"/>
            </w:tcMar>
            <w:vAlign w:val="center"/>
          </w:tcPr>
          <w:p>
            <w:pPr>
              <w:pStyle w:val="TableContents"/>
              <w:bidi w:val="0"/>
              <w:spacing w:before="0" w:after="283"/>
              <w:jc w:val="both"/>
              <w:rPr/>
            </w:pPr>
            <w:r>
              <w:rPr/>
              <w:t> </w:t>
            </w:r>
          </w:p>
        </w:tc>
        <w:tc>
          <w:tcPr>
            <w:tcW w:w="9420" w:type="dxa"/>
            <w:tcBorders/>
            <w:tcMar>
              <w:bottom w:w="0" w:type="dxa"/>
            </w:tcMar>
            <w:vAlign w:val="center"/>
          </w:tcPr>
          <w:p>
            <w:pPr>
              <w:pStyle w:val="TableContents"/>
              <w:bidi w:val="0"/>
              <w:spacing w:before="0" w:after="283"/>
              <w:jc w:val="both"/>
              <w:rPr/>
            </w:pPr>
            <w:r>
              <w:rPr/>
              <w:t> </w:t>
            </w:r>
          </w:p>
        </w:tc>
      </w:tr>
      <w:tr>
        <w:trPr/>
        <w:tc>
          <w:tcPr>
            <w:tcW w:w="785" w:type="dxa"/>
            <w:gridSpan w:val="2"/>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31.1*</w:t>
            </w:r>
          </w:p>
        </w:tc>
        <w:tc>
          <w:tcPr>
            <w:tcW w:w="9420" w:type="dxa"/>
            <w:tcBorders/>
            <w:tcMar>
              <w:bottom w:w="0" w:type="dxa"/>
            </w:tcMar>
            <w:vAlign w:val="center"/>
          </w:tcPr>
          <w:p>
            <w:pPr>
              <w:pStyle w:val="TableContents"/>
              <w:bidi w:val="0"/>
              <w:spacing w:before="0" w:after="0"/>
              <w:ind w:left="0" w:right="0" w:hanging="0"/>
              <w:jc w:val="both"/>
              <w:rPr/>
            </w:pPr>
            <w:hyperlink w:anchor="ex_961712.htm">
              <w:r>
                <w:rPr>
                  <w:rStyle w:val="InternetLink"/>
                  <w:rFonts w:ascii="Times New Roman;Times;serif" w:hAnsi="Times New Roman;Times;serif"/>
                  <w:sz w:val="20"/>
                </w:rPr>
                <w:t>Certification of Chief Executive Officer pursuant to Securities Exchange Act Rules 13a-14(a) and 15d-14(a), pursuant to Section 302 of the Sarbanes-Oxley Act of 2002.</w:t>
              </w:r>
            </w:hyperlink>
          </w:p>
        </w:tc>
      </w:tr>
      <w:tr>
        <w:trPr/>
        <w:tc>
          <w:tcPr>
            <w:tcW w:w="785" w:type="dxa"/>
            <w:gridSpan w:val="2"/>
            <w:tcBorders/>
            <w:tcMar>
              <w:bottom w:w="0" w:type="dxa"/>
            </w:tcMar>
            <w:vAlign w:val="center"/>
          </w:tcPr>
          <w:p>
            <w:pPr>
              <w:pStyle w:val="TableContents"/>
              <w:bidi w:val="0"/>
              <w:spacing w:before="0" w:after="283"/>
              <w:jc w:val="both"/>
              <w:rPr/>
            </w:pPr>
            <w:r>
              <w:rPr/>
              <w:t> </w:t>
            </w:r>
          </w:p>
        </w:tc>
        <w:tc>
          <w:tcPr>
            <w:tcW w:w="9420" w:type="dxa"/>
            <w:tcBorders/>
            <w:tcMar>
              <w:bottom w:w="0" w:type="dxa"/>
            </w:tcMar>
            <w:vAlign w:val="center"/>
          </w:tcPr>
          <w:p>
            <w:pPr>
              <w:pStyle w:val="TableContents"/>
              <w:bidi w:val="0"/>
              <w:spacing w:before="0" w:after="283"/>
              <w:jc w:val="both"/>
              <w:rPr/>
            </w:pPr>
            <w:r>
              <w:rPr/>
              <w:t> </w:t>
            </w:r>
          </w:p>
        </w:tc>
      </w:tr>
      <w:tr>
        <w:trPr/>
        <w:tc>
          <w:tcPr>
            <w:tcW w:w="785" w:type="dxa"/>
            <w:gridSpan w:val="2"/>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31.2*</w:t>
            </w:r>
          </w:p>
        </w:tc>
        <w:tc>
          <w:tcPr>
            <w:tcW w:w="9420" w:type="dxa"/>
            <w:tcBorders/>
            <w:tcMar>
              <w:bottom w:w="0" w:type="dxa"/>
            </w:tcMar>
            <w:vAlign w:val="center"/>
          </w:tcPr>
          <w:p>
            <w:pPr>
              <w:pStyle w:val="TableContents"/>
              <w:bidi w:val="0"/>
              <w:spacing w:before="0" w:after="0"/>
              <w:ind w:left="0" w:right="0" w:hanging="0"/>
              <w:jc w:val="both"/>
              <w:rPr/>
            </w:pPr>
            <w:hyperlink w:anchor="ex_961713.htm">
              <w:r>
                <w:rPr>
                  <w:rStyle w:val="InternetLink"/>
                  <w:rFonts w:ascii="Times New Roman;Times;serif" w:hAnsi="Times New Roman;Times;serif"/>
                  <w:sz w:val="20"/>
                </w:rPr>
                <w:t>Certification of Chief Financial Officer pursuant to Securities Exchange Act Rules 13a-14(a) and 15d-14(a), pursuant to Section 302 of the Sarbanes-Oxley Act of 2002.</w:t>
              </w:r>
            </w:hyperlink>
          </w:p>
        </w:tc>
      </w:tr>
      <w:tr>
        <w:trPr/>
        <w:tc>
          <w:tcPr>
            <w:tcW w:w="785" w:type="dxa"/>
            <w:gridSpan w:val="2"/>
            <w:tcBorders/>
            <w:tcMar>
              <w:bottom w:w="0" w:type="dxa"/>
            </w:tcMar>
            <w:vAlign w:val="center"/>
          </w:tcPr>
          <w:p>
            <w:pPr>
              <w:pStyle w:val="TableContents"/>
              <w:bidi w:val="0"/>
              <w:spacing w:before="0" w:after="283"/>
              <w:jc w:val="both"/>
              <w:rPr/>
            </w:pPr>
            <w:r>
              <w:rPr/>
              <w:t> </w:t>
            </w:r>
          </w:p>
        </w:tc>
        <w:tc>
          <w:tcPr>
            <w:tcW w:w="9420" w:type="dxa"/>
            <w:tcBorders/>
            <w:tcMar>
              <w:bottom w:w="0" w:type="dxa"/>
            </w:tcMar>
            <w:vAlign w:val="center"/>
          </w:tcPr>
          <w:p>
            <w:pPr>
              <w:pStyle w:val="TableContents"/>
              <w:bidi w:val="0"/>
              <w:spacing w:before="0" w:after="283"/>
              <w:jc w:val="both"/>
              <w:rPr/>
            </w:pPr>
            <w:r>
              <w:rPr/>
              <w:t> </w:t>
            </w:r>
          </w:p>
        </w:tc>
      </w:tr>
      <w:tr>
        <w:trPr/>
        <w:tc>
          <w:tcPr>
            <w:tcW w:w="785" w:type="dxa"/>
            <w:gridSpan w:val="2"/>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32.1**</w:t>
            </w:r>
          </w:p>
        </w:tc>
        <w:tc>
          <w:tcPr>
            <w:tcW w:w="9420" w:type="dxa"/>
            <w:tcBorders/>
            <w:tcMar>
              <w:bottom w:w="0" w:type="dxa"/>
            </w:tcMar>
            <w:vAlign w:val="center"/>
          </w:tcPr>
          <w:p>
            <w:pPr>
              <w:pStyle w:val="TableContents"/>
              <w:bidi w:val="0"/>
              <w:spacing w:before="0" w:after="0"/>
              <w:ind w:left="0" w:right="0" w:hanging="0"/>
              <w:jc w:val="both"/>
              <w:rPr/>
            </w:pPr>
            <w:hyperlink w:anchor="ex_961714.htm">
              <w:r>
                <w:rPr>
                  <w:rStyle w:val="InternetLink"/>
                  <w:rFonts w:ascii="Times New Roman;Times;serif" w:hAnsi="Times New Roman;Times;serif"/>
                  <w:sz w:val="20"/>
                </w:rPr>
                <w:t>Certification of Chief Executive Officer pursuant to 18 U.S.C. Section 1350, as adopted by Section 906 of the Sarbanes-Oxley Act of 2002.</w:t>
              </w:r>
            </w:hyperlink>
          </w:p>
        </w:tc>
      </w:tr>
      <w:tr>
        <w:trPr/>
        <w:tc>
          <w:tcPr>
            <w:tcW w:w="785" w:type="dxa"/>
            <w:gridSpan w:val="2"/>
            <w:tcBorders/>
            <w:tcMar>
              <w:bottom w:w="0" w:type="dxa"/>
            </w:tcMar>
            <w:vAlign w:val="center"/>
          </w:tcPr>
          <w:p>
            <w:pPr>
              <w:pStyle w:val="TableContents"/>
              <w:bidi w:val="0"/>
              <w:spacing w:before="0" w:after="283"/>
              <w:jc w:val="both"/>
              <w:rPr/>
            </w:pPr>
            <w:r>
              <w:rPr/>
              <w:t> </w:t>
            </w:r>
          </w:p>
        </w:tc>
        <w:tc>
          <w:tcPr>
            <w:tcW w:w="9420" w:type="dxa"/>
            <w:tcBorders/>
            <w:tcMar>
              <w:bottom w:w="0" w:type="dxa"/>
            </w:tcMar>
            <w:vAlign w:val="center"/>
          </w:tcPr>
          <w:p>
            <w:pPr>
              <w:pStyle w:val="TableContents"/>
              <w:bidi w:val="0"/>
              <w:spacing w:before="0" w:after="283"/>
              <w:jc w:val="both"/>
              <w:rPr/>
            </w:pPr>
            <w:r>
              <w:rPr/>
              <w:t> </w:t>
            </w:r>
          </w:p>
        </w:tc>
      </w:tr>
      <w:tr>
        <w:trPr/>
        <w:tc>
          <w:tcPr>
            <w:tcW w:w="785" w:type="dxa"/>
            <w:gridSpan w:val="2"/>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32.2**</w:t>
            </w:r>
          </w:p>
        </w:tc>
        <w:tc>
          <w:tcPr>
            <w:tcW w:w="9420" w:type="dxa"/>
            <w:tcBorders/>
            <w:tcMar>
              <w:bottom w:w="0" w:type="dxa"/>
            </w:tcMar>
            <w:vAlign w:val="center"/>
          </w:tcPr>
          <w:p>
            <w:pPr>
              <w:pStyle w:val="TableContents"/>
              <w:bidi w:val="0"/>
              <w:spacing w:before="0" w:after="0"/>
              <w:ind w:left="0" w:right="0" w:hanging="0"/>
              <w:jc w:val="both"/>
              <w:rPr/>
            </w:pPr>
            <w:hyperlink w:anchor="ex_961715.htm">
              <w:r>
                <w:rPr>
                  <w:rStyle w:val="InternetLink"/>
                  <w:rFonts w:ascii="Times New Roman;Times;serif" w:hAnsi="Times New Roman;Times;serif"/>
                  <w:sz w:val="20"/>
                </w:rPr>
                <w:t>Certification of Chief Financial Officer pursuant to 18 U.S.C. Section 1350, as adopted by Section 906 of the Sarbanes-Oxley Act of 2002.</w:t>
              </w:r>
            </w:hyperlink>
          </w:p>
        </w:tc>
      </w:tr>
      <w:tr>
        <w:trPr/>
        <w:tc>
          <w:tcPr>
            <w:tcW w:w="785" w:type="dxa"/>
            <w:gridSpan w:val="2"/>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85" w:type="dxa"/>
            <w:gridSpan w:val="2"/>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w:t>
            </w:r>
          </w:p>
        </w:tc>
        <w:tc>
          <w:tcPr>
            <w:tcW w:w="9420"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materials from the Company’s Quarterly Report on Form 10-Q for the quarter ended June 30, 2026 formatted in Inline eXtensible Business Reporting Language (iXBRL): (i) the Condensed Consolidated Balance Sheets, (ii) the Condensed Consolidated Statements of Comprehensive Income, (iii) the Condensed Consolidated Statements of Stockholders’ Equity, (iv) the Condensed Consolidated Statements of Cash Flows, and (v) related Notes to Condensed Consolidated Financial Statements.</w:t>
            </w:r>
          </w:p>
        </w:tc>
      </w:tr>
      <w:tr>
        <w:trPr/>
        <w:tc>
          <w:tcPr>
            <w:tcW w:w="785" w:type="dxa"/>
            <w:gridSpan w:val="2"/>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85" w:type="dxa"/>
            <w:gridSpan w:val="2"/>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104</w:t>
            </w:r>
          </w:p>
        </w:tc>
        <w:tc>
          <w:tcPr>
            <w:tcW w:w="9420"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cover page from the Company’s Quarterly Report on Form 10-Q for the quarter ended June 30, 2026 formatted as inline XBRL (included in Exhibit 101).</w:t>
            </w:r>
          </w:p>
        </w:tc>
      </w:tr>
      <w:tr>
        <w:trPr/>
        <w:tc>
          <w:tcPr>
            <w:tcW w:w="785" w:type="dxa"/>
            <w:gridSpan w:val="2"/>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840" w:type="dxa"/>
        <w:jc w:val="left"/>
        <w:tblInd w:w="0" w:type="dxa"/>
        <w:tblLayout w:type="fixed"/>
        <w:tblCellMar>
          <w:top w:w="0" w:type="dxa"/>
          <w:left w:w="0" w:type="dxa"/>
          <w:bottom w:w="0" w:type="dxa"/>
          <w:right w:w="0" w:type="dxa"/>
        </w:tblCellMar>
      </w:tblPr>
      <w:tblGrid>
        <w:gridCol w:w="245"/>
        <w:gridCol w:w="1595"/>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herewith.</w:t>
            </w:r>
          </w:p>
        </w:tc>
      </w:tr>
      <w:tr>
        <w:trPr/>
        <w:tc>
          <w:tcPr>
            <w:tcW w:w="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5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Furnished herewith</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706" w:right="0" w:hanging="706"/>
        <w:jc w:val="center"/>
        <w:rPr>
          <w:rFonts w:ascii="Times New Roman;Times;serif" w:hAnsi="Times New Roman;Times;serif"/>
          <w:b/>
          <w:sz w:val="20"/>
        </w:rPr>
      </w:pPr>
      <w:bookmarkStart w:id="20" w:name="sig"/>
      <w:bookmarkEnd w:id="20"/>
      <w:r>
        <w:rPr>
          <w:rFonts w:ascii="Times New Roman;Times;serif" w:hAnsi="Times New Roman;Times;serif"/>
          <w:b/>
          <w:sz w:val="20"/>
        </w:rPr>
        <w:t>SIGNATURES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pPr>
      <w:r>
        <w:rPr/>
        <w:t> </w:t>
      </w:r>
    </w:p>
    <w:tbl>
      <w:tblPr>
        <w:tblW w:w="6520" w:type="dxa"/>
        <w:jc w:val="left"/>
        <w:tblInd w:w="0" w:type="dxa"/>
        <w:tblLayout w:type="fixed"/>
        <w:tblCellMar>
          <w:top w:w="0" w:type="dxa"/>
          <w:left w:w="0" w:type="dxa"/>
          <w:bottom w:w="0" w:type="dxa"/>
          <w:right w:w="0" w:type="dxa"/>
        </w:tblCellMar>
      </w:tblPr>
      <w:tblGrid>
        <w:gridCol w:w="60"/>
        <w:gridCol w:w="320"/>
        <w:gridCol w:w="6140"/>
      </w:tblGrid>
      <w:tr>
        <w:trPr/>
        <w:tc>
          <w:tcPr>
            <w:tcW w:w="60" w:type="dxa"/>
            <w:tcBorders/>
            <w:vAlign w:val="center"/>
          </w:tcPr>
          <w:p>
            <w:pPr>
              <w:pStyle w:val="TableContents"/>
              <w:bidi w:val="0"/>
              <w:spacing w:before="0" w:after="283"/>
              <w:jc w:val="left"/>
              <w:rPr/>
            </w:pPr>
            <w:r>
              <w:rPr/>
              <w:t> </w:t>
            </w:r>
          </w:p>
        </w:tc>
        <w:tc>
          <w:tcPr>
            <w:tcW w:w="6460" w:type="dxa"/>
            <w:gridSpan w:val="2"/>
            <w:tcBorders/>
            <w:vAlign w:val="center"/>
          </w:tcPr>
          <w:p>
            <w:pPr>
              <w:pStyle w:val="TableContents"/>
              <w:bidi w:val="0"/>
              <w:spacing w:before="0" w:after="0"/>
              <w:ind w:left="0" w:right="0" w:hanging="0"/>
              <w:jc w:val="both"/>
              <w:rPr>
                <w:rFonts w:ascii="Times New Roman;Times;serif" w:hAnsi="Times New Roman;Times;serif"/>
                <w:smallCaps/>
                <w:sz w:val="20"/>
              </w:rPr>
            </w:pPr>
            <w:r>
              <w:rPr>
                <w:rFonts w:ascii="Times New Roman;Times;serif" w:hAnsi="Times New Roman;Times;serif"/>
                <w:smallCaps/>
                <w:sz w:val="20"/>
              </w:rPr>
              <w:t>Generac Holdings Inc.</w:t>
            </w:r>
          </w:p>
        </w:tc>
      </w:tr>
      <w:tr>
        <w:trPr/>
        <w:tc>
          <w:tcPr>
            <w:tcW w:w="60" w:type="dxa"/>
            <w:tcBorders/>
            <w:vAlign w:val="center"/>
          </w:tcPr>
          <w:p>
            <w:pPr>
              <w:pStyle w:val="TableContents"/>
              <w:bidi w:val="0"/>
              <w:spacing w:before="0" w:after="283"/>
              <w:jc w:val="left"/>
              <w:rPr/>
            </w:pPr>
            <w:r>
              <w:rPr/>
              <w:t> </w:t>
            </w:r>
          </w:p>
        </w:tc>
        <w:tc>
          <w:tcPr>
            <w:tcW w:w="6460"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61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York A. Ragen</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0"/>
              <w:ind w:left="0" w:right="0" w:hanging="0"/>
              <w:jc w:val="center"/>
              <w:rPr>
                <w:rFonts w:ascii="Times New Roman;Times;serif" w:hAnsi="Times New Roman;Times;serif"/>
                <w:smallCaps/>
                <w:sz w:val="20"/>
              </w:rPr>
            </w:pPr>
            <w:r>
              <w:rPr>
                <w:rFonts w:ascii="Times New Roman;Times;serif" w:hAnsi="Times New Roman;Times;serif"/>
                <w:smallCaps/>
                <w:sz w:val="20"/>
              </w:rPr>
              <w:t>York A. Ragen</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Chief Financial Officer</w:t>
              <w:br/>
              <w:t xml:space="preserve">(Duly Authorized Officer and Principal Financial and Accounting Officer)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Dated: August 4, 2026</w:t>
      </w:r>
    </w:p>
    <w:p>
      <w:pPr>
        <w:pStyle w:val="TextBody"/>
        <w:bidi w:val="0"/>
        <w:spacing w:before="0" w:after="0"/>
        <w:ind w:left="16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36 </w:t>
      </w:r>
    </w:p>
    <w:p>
      <w:pPr>
        <w:pStyle w:val="TextBody"/>
        <w:bidi w:val="0"/>
        <w:spacing w:before="0" w:after="0"/>
        <w:ind w:left="0" w:right="0" w:hanging="0"/>
        <w:jc w:val="right"/>
        <w:rPr>
          <w:rFonts w:ascii="Times New Roman;Times;serif" w:hAnsi="Times New Roman;Times;serif"/>
          <w:b/>
          <w:sz w:val="20"/>
        </w:rPr>
      </w:pPr>
      <w:bookmarkStart w:id="21" w:name="ex_961712.htm"/>
      <w:bookmarkStart w:id="22" w:name="ksex_961712"/>
      <w:bookmarkEnd w:id="21"/>
      <w:bookmarkEnd w:id="22"/>
      <w:r>
        <w:rPr>
          <w:rFonts w:ascii="Times New Roman;Times;serif" w:hAnsi="Times New Roman;Times;serif"/>
          <w:b/>
          <w:sz w:val="20"/>
        </w:rPr>
        <w:t>Exhibit 31.1</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CERTIFICATION OF CHIEF EXECUTIVE OFFICER PURSUANT TO</w:t>
        <w:br/>
        <w:t>SECURITIES EXCHANGE ACT RULES 13a-14(a) AND 15d-14(a), AS ADOPTED</w:t>
        <w:br/>
        <w:t>PURSUANT TO SECTION 302 OF THE SARBANES-OXLEY ACT OF 2002</w:t>
      </w:r>
      <w:r>
        <w:rPr>
          <w:rFonts w:ascii="Times New Roman;Times;serif" w:hAnsi="Times New Roman;Times;serif"/>
          <w:sz w:val="2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Aaron Jagdfeld, certify that:</w:t>
      </w:r>
    </w:p>
    <w:p>
      <w:pPr>
        <w:pStyle w:val="TextBody"/>
        <w:bidi w:val="0"/>
        <w:spacing w:before="0" w:after="0"/>
        <w:ind w:left="0" w:right="0" w:hanging="0"/>
        <w:jc w:val="left"/>
        <w:rPr/>
      </w:pPr>
      <w:r>
        <w:rPr/>
        <w:t> </w:t>
      </w:r>
    </w:p>
    <w:tbl>
      <w:tblPr>
        <w:tblW w:w="6505" w:type="dxa"/>
        <w:jc w:val="left"/>
        <w:tblInd w:w="0" w:type="dxa"/>
        <w:tblLayout w:type="fixed"/>
        <w:tblCellMar>
          <w:top w:w="0" w:type="dxa"/>
          <w:left w:w="0" w:type="dxa"/>
          <w:bottom w:w="0" w:type="dxa"/>
          <w:right w:w="0" w:type="dxa"/>
        </w:tblCellMar>
      </w:tblPr>
      <w:tblGrid>
        <w:gridCol w:w="60"/>
        <w:gridCol w:w="170"/>
        <w:gridCol w:w="62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62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have reviewed this quarterly report on Form 10-Q of Generac Holdings Inc.;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0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1"/>
        <w:gridCol w:w="10004"/>
      </w:tblGrid>
      <w:tr>
        <w:trPr/>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00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99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3"/>
        <w:gridCol w:w="10002"/>
      </w:tblGrid>
      <w:tr>
        <w:trPr/>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0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 </w:t>
      </w:r>
    </w:p>
    <w:p>
      <w:pPr>
        <w:pStyle w:val="TextBody"/>
        <w:bidi w:val="0"/>
        <w:spacing w:before="0" w:after="0"/>
        <w:ind w:left="1080" w:right="0" w:hanging="0"/>
        <w:jc w:val="both"/>
        <w:rPr/>
      </w:pPr>
      <w:r>
        <w:rPr/>
        <w:t> </w:t>
      </w:r>
    </w:p>
    <w:p>
      <w:pPr>
        <w:pStyle w:val="TextBody"/>
        <w:bidi w:val="0"/>
        <w:spacing w:before="0" w:after="0"/>
        <w:ind w:left="0" w:right="0" w:hanging="0"/>
        <w:jc w:val="left"/>
        <w:rPr/>
      </w:pPr>
      <w:r>
        <w:rPr/>
        <w:t> </w:t>
      </w:r>
    </w:p>
    <w:tbl>
      <w:tblPr>
        <w:tblW w:w="4485" w:type="dxa"/>
        <w:jc w:val="left"/>
        <w:tblInd w:w="0" w:type="dxa"/>
        <w:tblLayout w:type="fixed"/>
        <w:tblCellMar>
          <w:top w:w="0" w:type="dxa"/>
          <w:left w:w="0" w:type="dxa"/>
          <w:bottom w:w="0" w:type="dxa"/>
          <w:right w:w="0" w:type="dxa"/>
        </w:tblCellMar>
      </w:tblPr>
      <w:tblGrid>
        <w:gridCol w:w="1790"/>
        <w:gridCol w:w="60"/>
        <w:gridCol w:w="60"/>
        <w:gridCol w:w="545"/>
        <w:gridCol w:w="60"/>
        <w:gridCol w:w="1970"/>
      </w:tblGrid>
      <w:tr>
        <w:trPr/>
        <w:tc>
          <w:tcPr>
            <w:tcW w:w="17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August 4, 2026</w:t>
            </w:r>
          </w:p>
        </w:tc>
        <w:tc>
          <w:tcPr>
            <w:tcW w:w="60" w:type="dxa"/>
            <w:tcBorders/>
            <w:vAlign w:val="center"/>
          </w:tcPr>
          <w:p>
            <w:pPr>
              <w:pStyle w:val="TableContents"/>
              <w:bidi w:val="0"/>
              <w:spacing w:before="0" w:after="0"/>
              <w:ind w:left="0" w:right="0" w:hanging="0"/>
              <w:jc w:val="both"/>
              <w:rPr/>
            </w:pPr>
            <w:r>
              <w:rPr/>
              <w:t> </w:t>
            </w:r>
          </w:p>
        </w:tc>
        <w:tc>
          <w:tcPr>
            <w:tcW w:w="60" w:type="dxa"/>
            <w:tcBorders/>
            <w:vAlign w:val="center"/>
          </w:tcPr>
          <w:p>
            <w:pPr>
              <w:pStyle w:val="TableContents"/>
              <w:bidi w:val="0"/>
              <w:spacing w:before="0" w:after="0"/>
              <w:ind w:left="0" w:right="0" w:hanging="0"/>
              <w:jc w:val="both"/>
              <w:rPr/>
            </w:pPr>
            <w:r>
              <w:rPr/>
              <w:t> </w:t>
            </w:r>
          </w:p>
        </w:tc>
        <w:tc>
          <w:tcPr>
            <w:tcW w:w="2575" w:type="dxa"/>
            <w:gridSpan w:val="3"/>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Aaron Jagdfeld</w:t>
            </w:r>
          </w:p>
        </w:tc>
      </w:tr>
      <w:tr>
        <w:trPr/>
        <w:tc>
          <w:tcPr>
            <w:tcW w:w="1790" w:type="dxa"/>
            <w:tcBorders/>
            <w:vAlign w:val="center"/>
          </w:tcPr>
          <w:p>
            <w:pPr>
              <w:pStyle w:val="TableContents"/>
              <w:bidi w:val="0"/>
              <w:spacing w:before="0" w:after="0"/>
              <w:ind w:left="0" w:right="0" w:hanging="0"/>
              <w:jc w:val="both"/>
              <w:rPr/>
            </w:pPr>
            <w:r>
              <w:rPr/>
              <w:t> </w:t>
            </w:r>
          </w:p>
        </w:tc>
        <w:tc>
          <w:tcPr>
            <w:tcW w:w="60" w:type="dxa"/>
            <w:tcBorders/>
            <w:vAlign w:val="center"/>
          </w:tcPr>
          <w:p>
            <w:pPr>
              <w:pStyle w:val="TableContents"/>
              <w:bidi w:val="0"/>
              <w:spacing w:before="0" w:after="0"/>
              <w:ind w:left="0" w:right="0" w:hanging="0"/>
              <w:jc w:val="both"/>
              <w:rPr/>
            </w:pPr>
            <w:r>
              <w:rPr/>
              <w:t> </w:t>
            </w:r>
          </w:p>
        </w:tc>
        <w:tc>
          <w:tcPr>
            <w:tcW w:w="60" w:type="dxa"/>
            <w:tcBorders/>
            <w:vAlign w:val="center"/>
          </w:tcPr>
          <w:p>
            <w:pPr>
              <w:pStyle w:val="TableContents"/>
              <w:bidi w:val="0"/>
              <w:spacing w:before="0" w:after="0"/>
              <w:ind w:left="0" w:right="0" w:hanging="0"/>
              <w:jc w:val="both"/>
              <w:rPr/>
            </w:pPr>
            <w:r>
              <w:rPr/>
              <w:t> </w:t>
            </w:r>
          </w:p>
        </w:tc>
        <w:tc>
          <w:tcPr>
            <w:tcW w:w="5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Name:</w:t>
            </w:r>
          </w:p>
        </w:tc>
        <w:tc>
          <w:tcPr>
            <w:tcW w:w="60" w:type="dxa"/>
            <w:tcBorders/>
            <w:vAlign w:val="center"/>
          </w:tcPr>
          <w:p>
            <w:pPr>
              <w:pStyle w:val="TableContents"/>
              <w:bidi w:val="0"/>
              <w:spacing w:before="0" w:after="0"/>
              <w:ind w:left="0" w:right="0" w:hanging="0"/>
              <w:jc w:val="both"/>
              <w:rPr/>
            </w:pPr>
            <w:r>
              <w:rPr/>
              <w:t> </w:t>
            </w:r>
          </w:p>
        </w:tc>
        <w:tc>
          <w:tcPr>
            <w:tcW w:w="19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Aaron Jagdfeld</w:t>
            </w:r>
          </w:p>
        </w:tc>
      </w:tr>
      <w:tr>
        <w:trPr/>
        <w:tc>
          <w:tcPr>
            <w:tcW w:w="1790" w:type="dxa"/>
            <w:tcBorders/>
            <w:vAlign w:val="center"/>
          </w:tcPr>
          <w:p>
            <w:pPr>
              <w:pStyle w:val="TableContents"/>
              <w:bidi w:val="0"/>
              <w:spacing w:before="0" w:after="0"/>
              <w:ind w:left="0" w:right="0" w:hanging="0"/>
              <w:jc w:val="both"/>
              <w:rPr/>
            </w:pPr>
            <w:r>
              <w:rPr/>
              <w:t> </w:t>
            </w:r>
          </w:p>
        </w:tc>
        <w:tc>
          <w:tcPr>
            <w:tcW w:w="60" w:type="dxa"/>
            <w:tcBorders/>
            <w:vAlign w:val="center"/>
          </w:tcPr>
          <w:p>
            <w:pPr>
              <w:pStyle w:val="TableContents"/>
              <w:bidi w:val="0"/>
              <w:spacing w:before="0" w:after="0"/>
              <w:ind w:left="0" w:right="0" w:hanging="0"/>
              <w:jc w:val="both"/>
              <w:rPr/>
            </w:pPr>
            <w:r>
              <w:rPr/>
              <w:t> </w:t>
            </w:r>
          </w:p>
        </w:tc>
        <w:tc>
          <w:tcPr>
            <w:tcW w:w="60" w:type="dxa"/>
            <w:tcBorders/>
            <w:vAlign w:val="center"/>
          </w:tcPr>
          <w:p>
            <w:pPr>
              <w:pStyle w:val="TableContents"/>
              <w:bidi w:val="0"/>
              <w:spacing w:before="0" w:after="0"/>
              <w:ind w:left="0" w:right="0" w:hanging="0"/>
              <w:jc w:val="both"/>
              <w:rPr/>
            </w:pPr>
            <w:r>
              <w:rPr/>
              <w:t> </w:t>
            </w:r>
          </w:p>
        </w:tc>
        <w:tc>
          <w:tcPr>
            <w:tcW w:w="5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60" w:type="dxa"/>
            <w:tcBorders/>
            <w:vAlign w:val="center"/>
          </w:tcPr>
          <w:p>
            <w:pPr>
              <w:pStyle w:val="TableContents"/>
              <w:bidi w:val="0"/>
              <w:spacing w:before="0" w:after="0"/>
              <w:ind w:left="0" w:right="0" w:hanging="0"/>
              <w:jc w:val="both"/>
              <w:rPr/>
            </w:pPr>
            <w:r>
              <w:rPr/>
              <w:t> </w:t>
            </w:r>
          </w:p>
        </w:tc>
        <w:tc>
          <w:tcPr>
            <w:tcW w:w="1970"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Chief Executive Officer </w:t>
            </w:r>
          </w:p>
        </w:tc>
      </w:tr>
    </w:tbl>
    <w:p>
      <w:pPr>
        <w:pStyle w:val="TextBody"/>
        <w:bidi w:val="0"/>
        <w:spacing w:before="0" w:after="0"/>
        <w:ind w:left="0" w:right="0" w:hanging="0"/>
        <w:jc w:val="both"/>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3" w:name="ex_961713.htm"/>
      <w:bookmarkStart w:id="24" w:name="ksex_961713"/>
      <w:bookmarkEnd w:id="23"/>
      <w:bookmarkEnd w:id="24"/>
      <w:r>
        <w:rPr>
          <w:rFonts w:ascii="Times New Roman;Times;serif" w:hAnsi="Times New Roman;Times;serif"/>
          <w:b/>
          <w:sz w:val="20"/>
        </w:rPr>
        <w:t>Exhibit 31.2</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CERTIFICATION OF CHIEF FINANCIAL OFFICER PURSUANT TO</w:t>
        <w:br/>
        <w:t>SECURITIES EXCHANGE ACT RULES 13a-14(a) AND 15d-14(a), AS ADOPTED</w:t>
        <w:br/>
        <w:t>PURSUANT TO SECTION 302 OF THE SARBANES-OXLEY ACT OF 2002</w:t>
      </w:r>
      <w:r>
        <w:rPr>
          <w:rFonts w:ascii="Times New Roman;Times;serif" w:hAnsi="Times New Roman;Times;serif"/>
          <w:sz w:val="2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York A. Ragen, certify that:</w:t>
      </w:r>
    </w:p>
    <w:p>
      <w:pPr>
        <w:pStyle w:val="TextBody"/>
        <w:bidi w:val="0"/>
        <w:spacing w:before="0" w:after="0"/>
        <w:ind w:left="0" w:right="0" w:hanging="0"/>
        <w:jc w:val="left"/>
        <w:rPr/>
      </w:pPr>
      <w:r>
        <w:rPr/>
        <w:t> </w:t>
      </w:r>
    </w:p>
    <w:tbl>
      <w:tblPr>
        <w:tblW w:w="6505" w:type="dxa"/>
        <w:jc w:val="left"/>
        <w:tblInd w:w="0" w:type="dxa"/>
        <w:tblLayout w:type="fixed"/>
        <w:tblCellMar>
          <w:top w:w="0" w:type="dxa"/>
          <w:left w:w="0" w:type="dxa"/>
          <w:bottom w:w="0" w:type="dxa"/>
          <w:right w:w="0" w:type="dxa"/>
        </w:tblCellMar>
      </w:tblPr>
      <w:tblGrid>
        <w:gridCol w:w="60"/>
        <w:gridCol w:w="170"/>
        <w:gridCol w:w="62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62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have reviewed this quarterly report on Form 10-Q of Generac Holdings Inc.;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0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1"/>
        <w:gridCol w:w="10004"/>
      </w:tblGrid>
      <w:tr>
        <w:trPr/>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00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99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3"/>
        <w:gridCol w:w="10002"/>
      </w:tblGrid>
      <w:tr>
        <w:trPr/>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0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 </w:t>
      </w:r>
    </w:p>
    <w:p>
      <w:pPr>
        <w:pStyle w:val="TextBody"/>
        <w:bidi w:val="0"/>
        <w:spacing w:before="0" w:after="0"/>
        <w:ind w:left="1080" w:right="0" w:hanging="0"/>
        <w:jc w:val="left"/>
        <w:rPr/>
      </w:pPr>
      <w:r>
        <w:rPr/>
        <w:t> </w:t>
      </w:r>
    </w:p>
    <w:p>
      <w:pPr>
        <w:pStyle w:val="TextBody"/>
        <w:bidi w:val="0"/>
        <w:spacing w:before="0" w:after="0"/>
        <w:ind w:left="0" w:right="0" w:hanging="0"/>
        <w:jc w:val="left"/>
        <w:rPr/>
      </w:pPr>
      <w:r>
        <w:rPr/>
        <w:t> </w:t>
      </w:r>
    </w:p>
    <w:tbl>
      <w:tblPr>
        <w:tblW w:w="4830" w:type="dxa"/>
        <w:jc w:val="left"/>
        <w:tblInd w:w="0" w:type="dxa"/>
        <w:tblLayout w:type="fixed"/>
        <w:tblCellMar>
          <w:top w:w="0" w:type="dxa"/>
          <w:left w:w="0" w:type="dxa"/>
          <w:bottom w:w="0" w:type="dxa"/>
          <w:right w:w="0" w:type="dxa"/>
        </w:tblCellMar>
      </w:tblPr>
      <w:tblGrid>
        <w:gridCol w:w="2120"/>
        <w:gridCol w:w="60"/>
        <w:gridCol w:w="60"/>
        <w:gridCol w:w="545"/>
        <w:gridCol w:w="60"/>
        <w:gridCol w:w="1985"/>
      </w:tblGrid>
      <w:tr>
        <w:trPr/>
        <w:tc>
          <w:tcPr>
            <w:tcW w:w="2120" w:type="dxa"/>
            <w:tcBorders/>
            <w:vAlign w:val="center"/>
          </w:tcPr>
          <w:p>
            <w:pPr>
              <w:pStyle w:val="TableContents"/>
              <w:bidi w:val="0"/>
              <w:spacing w:before="0" w:after="283"/>
              <w:jc w:val="left"/>
              <w:rPr/>
            </w:pPr>
            <w:r>
              <w:rPr/>
              <w:t>Date:  August 4, 2026</w:t>
            </w:r>
          </w:p>
        </w:tc>
        <w:tc>
          <w:tcPr>
            <w:tcW w:w="60" w:type="dxa"/>
            <w:tcBorders/>
            <w:vAlign w:val="center"/>
          </w:tcPr>
          <w:p>
            <w:pPr>
              <w:pStyle w:val="TableContents"/>
              <w:bidi w:val="0"/>
              <w:spacing w:before="0" w:after="0"/>
              <w:ind w:left="0" w:right="0" w:hanging="0"/>
              <w:jc w:val="both"/>
              <w:rPr/>
            </w:pPr>
            <w:r>
              <w:rPr/>
              <w:t> </w:t>
            </w:r>
          </w:p>
        </w:tc>
        <w:tc>
          <w:tcPr>
            <w:tcW w:w="60" w:type="dxa"/>
            <w:tcBorders/>
            <w:vAlign w:val="center"/>
          </w:tcPr>
          <w:p>
            <w:pPr>
              <w:pStyle w:val="TableContents"/>
              <w:bidi w:val="0"/>
              <w:spacing w:before="0" w:after="0"/>
              <w:ind w:left="0" w:right="0" w:hanging="0"/>
              <w:jc w:val="both"/>
              <w:rPr/>
            </w:pPr>
            <w:r>
              <w:rPr/>
              <w:t> </w:t>
            </w:r>
          </w:p>
        </w:tc>
        <w:tc>
          <w:tcPr>
            <w:tcW w:w="2590" w:type="dxa"/>
            <w:gridSpan w:val="3"/>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York A. Ragen</w:t>
            </w:r>
          </w:p>
        </w:tc>
      </w:tr>
      <w:tr>
        <w:trPr/>
        <w:tc>
          <w:tcPr>
            <w:tcW w:w="2120" w:type="dxa"/>
            <w:tcBorders/>
            <w:vAlign w:val="center"/>
          </w:tcPr>
          <w:p>
            <w:pPr>
              <w:pStyle w:val="TableContents"/>
              <w:bidi w:val="0"/>
              <w:spacing w:before="0" w:after="0"/>
              <w:ind w:left="0" w:right="0" w:hanging="0"/>
              <w:jc w:val="both"/>
              <w:rPr/>
            </w:pPr>
            <w:r>
              <w:rPr/>
              <w:t> </w:t>
            </w:r>
          </w:p>
        </w:tc>
        <w:tc>
          <w:tcPr>
            <w:tcW w:w="60" w:type="dxa"/>
            <w:tcBorders/>
            <w:vAlign w:val="center"/>
          </w:tcPr>
          <w:p>
            <w:pPr>
              <w:pStyle w:val="TableContents"/>
              <w:bidi w:val="0"/>
              <w:spacing w:before="0" w:after="0"/>
              <w:ind w:left="0" w:right="0" w:hanging="0"/>
              <w:jc w:val="both"/>
              <w:rPr/>
            </w:pPr>
            <w:r>
              <w:rPr/>
              <w:t> </w:t>
            </w:r>
          </w:p>
        </w:tc>
        <w:tc>
          <w:tcPr>
            <w:tcW w:w="60" w:type="dxa"/>
            <w:tcBorders/>
            <w:vAlign w:val="center"/>
          </w:tcPr>
          <w:p>
            <w:pPr>
              <w:pStyle w:val="TableContents"/>
              <w:bidi w:val="0"/>
              <w:spacing w:before="0" w:after="0"/>
              <w:ind w:left="0" w:right="0" w:hanging="0"/>
              <w:jc w:val="both"/>
              <w:rPr/>
            </w:pPr>
            <w:r>
              <w:rPr/>
              <w:t> </w:t>
            </w:r>
          </w:p>
        </w:tc>
        <w:tc>
          <w:tcPr>
            <w:tcW w:w="5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Name:</w:t>
            </w:r>
          </w:p>
        </w:tc>
        <w:tc>
          <w:tcPr>
            <w:tcW w:w="60" w:type="dxa"/>
            <w:tcBorders/>
            <w:vAlign w:val="center"/>
          </w:tcPr>
          <w:p>
            <w:pPr>
              <w:pStyle w:val="TableContents"/>
              <w:bidi w:val="0"/>
              <w:spacing w:before="0" w:after="0"/>
              <w:ind w:left="0" w:right="0" w:hanging="0"/>
              <w:jc w:val="both"/>
              <w:rPr/>
            </w:pPr>
            <w:r>
              <w:rPr/>
              <w:t> </w:t>
            </w:r>
          </w:p>
        </w:tc>
        <w:tc>
          <w:tcPr>
            <w:tcW w:w="19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York A. Ragen</w:t>
            </w:r>
          </w:p>
        </w:tc>
      </w:tr>
      <w:tr>
        <w:trPr/>
        <w:tc>
          <w:tcPr>
            <w:tcW w:w="2120" w:type="dxa"/>
            <w:tcBorders/>
            <w:vAlign w:val="center"/>
          </w:tcPr>
          <w:p>
            <w:pPr>
              <w:pStyle w:val="TableContents"/>
              <w:bidi w:val="0"/>
              <w:spacing w:before="0" w:after="0"/>
              <w:ind w:left="0" w:right="0" w:hanging="0"/>
              <w:jc w:val="both"/>
              <w:rPr/>
            </w:pPr>
            <w:r>
              <w:rPr/>
              <w:t> </w:t>
            </w:r>
          </w:p>
        </w:tc>
        <w:tc>
          <w:tcPr>
            <w:tcW w:w="60" w:type="dxa"/>
            <w:tcBorders/>
            <w:vAlign w:val="center"/>
          </w:tcPr>
          <w:p>
            <w:pPr>
              <w:pStyle w:val="TableContents"/>
              <w:bidi w:val="0"/>
              <w:spacing w:before="0" w:after="0"/>
              <w:ind w:left="0" w:right="0" w:hanging="0"/>
              <w:jc w:val="both"/>
              <w:rPr/>
            </w:pPr>
            <w:r>
              <w:rPr/>
              <w:t> </w:t>
            </w:r>
          </w:p>
        </w:tc>
        <w:tc>
          <w:tcPr>
            <w:tcW w:w="60" w:type="dxa"/>
            <w:tcBorders/>
            <w:vAlign w:val="center"/>
          </w:tcPr>
          <w:p>
            <w:pPr>
              <w:pStyle w:val="TableContents"/>
              <w:bidi w:val="0"/>
              <w:spacing w:before="0" w:after="0"/>
              <w:ind w:left="0" w:right="0" w:hanging="0"/>
              <w:jc w:val="both"/>
              <w:rPr/>
            </w:pPr>
            <w:r>
              <w:rPr/>
              <w:t> </w:t>
            </w:r>
          </w:p>
        </w:tc>
        <w:tc>
          <w:tcPr>
            <w:tcW w:w="5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60" w:type="dxa"/>
            <w:tcBorders/>
            <w:vAlign w:val="center"/>
          </w:tcPr>
          <w:p>
            <w:pPr>
              <w:pStyle w:val="TableContents"/>
              <w:bidi w:val="0"/>
              <w:spacing w:before="0" w:after="0"/>
              <w:ind w:left="0" w:right="0" w:hanging="0"/>
              <w:jc w:val="both"/>
              <w:rPr/>
            </w:pPr>
            <w:r>
              <w:rPr/>
              <w:t> </w:t>
            </w:r>
          </w:p>
        </w:tc>
        <w:tc>
          <w:tcPr>
            <w:tcW w:w="1985"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Chief Financial Officer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5" w:name="ex_961714.htm"/>
      <w:bookmarkStart w:id="26" w:name="ksex_961714"/>
      <w:bookmarkEnd w:id="25"/>
      <w:bookmarkEnd w:id="26"/>
      <w:r>
        <w:rPr>
          <w:rFonts w:ascii="Times New Roman;Times;serif" w:hAnsi="Times New Roman;Times;serif"/>
          <w:b/>
          <w:sz w:val="20"/>
        </w:rPr>
        <w:t xml:space="preserve">Exhibit 32.1 </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THE CHIEF EXECUTIVE OFFICER</w:t>
        <w:br/>
        <w:t>PURSUANT TO 18 U.S.C. SECTION 1350, AS ADOPTED</w:t>
        <w:br/>
        <w:t xml:space="preserve">BY SECTION 906 OF THE SARBANES-OXLEY ACT OF 2002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r>
        <w:rPr>
          <w:rFonts w:ascii="Times New Roman;Times;serif" w:hAnsi="Times New Roman;Times;serif"/>
          <w:sz w:val="20"/>
        </w:rPr>
        <w:t>Pursuant to Section 1350, Chapter 63 of Title 18, United States Code, as adopted by Section 906 of the Sarbanes-Oxley Act of 2002, the undersigned, as Chief Executive Officer of Generac Holdings Inc. (the “Company”), does hereby certify that to my knowledge:</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50"/>
        <w:gridCol w:w="9995"/>
      </w:tblGrid>
      <w:tr>
        <w:trPr/>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9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quarterly report on Form 10-Q for the fiscal quarter ended </w:t>
            </w:r>
            <w:bookmarkStart w:id="27" w:name="led53015F2020771596816807877"/>
            <w:bookmarkEnd w:id="27"/>
            <w:r>
              <w:rPr>
                <w:rFonts w:ascii="Times New Roman;Times;serif" w:hAnsi="Times New Roman;Times;serif"/>
                <w:sz w:val="20"/>
              </w:rPr>
              <w:t>June 30, 2026 fully complies with the requirements of Section 13(a) or 15(d) of the Securities Exchange Act of 1934, as amended;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8"/>
        <w:gridCol w:w="9997"/>
      </w:tblGrid>
      <w:tr>
        <w:trPr/>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99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information contained in the Company's quarterly report on Form 10-Q for the fiscal quarter ended </w:t>
            </w:r>
            <w:bookmarkStart w:id="28" w:name="led53015F20207715968168078771"/>
            <w:bookmarkEnd w:id="28"/>
            <w:r>
              <w:rPr>
                <w:rFonts w:ascii="Times New Roman;Times;serif" w:hAnsi="Times New Roman;Times;serif"/>
                <w:sz w:val="20"/>
              </w:rPr>
              <w:t>June 30, 2026 fairly presents, in all material respects, the financial condition and results of operations of the Company.</w:t>
            </w:r>
          </w:p>
        </w:tc>
      </w:tr>
    </w:tbl>
    <w:p>
      <w:pPr>
        <w:pStyle w:val="TextBody"/>
        <w:bidi w:val="0"/>
        <w:spacing w:before="0" w:after="0"/>
        <w:ind w:left="0" w:right="0" w:hanging="0"/>
        <w:jc w:val="left"/>
        <w:rPr/>
      </w:pPr>
      <w:r>
        <w:rPr/>
        <w:t> </w:t>
      </w:r>
    </w:p>
    <w:p>
      <w:pPr>
        <w:pStyle w:val="TextBody"/>
        <w:bidi w:val="0"/>
        <w:spacing w:before="0" w:after="0"/>
        <w:ind w:left="720" w:right="0" w:hanging="0"/>
        <w:jc w:val="left"/>
        <w:rPr/>
      </w:pPr>
      <w:r>
        <w:rPr/>
        <w:t> </w:t>
      </w:r>
    </w:p>
    <w:p>
      <w:pPr>
        <w:pStyle w:val="TextBody"/>
        <w:bidi w:val="0"/>
        <w:spacing w:before="0" w:after="0"/>
        <w:ind w:left="0" w:right="0" w:hanging="0"/>
        <w:jc w:val="left"/>
        <w:rPr/>
      </w:pPr>
      <w:r>
        <w:rPr/>
        <w:t> </w:t>
      </w:r>
    </w:p>
    <w:tbl>
      <w:tblPr>
        <w:tblW w:w="4815" w:type="dxa"/>
        <w:jc w:val="left"/>
        <w:tblInd w:w="0" w:type="dxa"/>
        <w:tblLayout w:type="fixed"/>
        <w:tblCellMar>
          <w:top w:w="0" w:type="dxa"/>
          <w:left w:w="0" w:type="dxa"/>
          <w:bottom w:w="0" w:type="dxa"/>
          <w:right w:w="0" w:type="dxa"/>
        </w:tblCellMar>
      </w:tblPr>
      <w:tblGrid>
        <w:gridCol w:w="2120"/>
        <w:gridCol w:w="60"/>
        <w:gridCol w:w="60"/>
        <w:gridCol w:w="545"/>
        <w:gridCol w:w="60"/>
        <w:gridCol w:w="1970"/>
      </w:tblGrid>
      <w:tr>
        <w:trPr/>
        <w:tc>
          <w:tcPr>
            <w:tcW w:w="2120" w:type="dxa"/>
            <w:tcBorders/>
            <w:vAlign w:val="center"/>
          </w:tcPr>
          <w:p>
            <w:pPr>
              <w:pStyle w:val="TableContents"/>
              <w:bidi w:val="0"/>
              <w:spacing w:before="0" w:after="283"/>
              <w:jc w:val="left"/>
              <w:rPr/>
            </w:pPr>
            <w:r>
              <w:rPr/>
              <w:t>Date:  August 4, 2026</w:t>
            </w:r>
          </w:p>
        </w:tc>
        <w:tc>
          <w:tcPr>
            <w:tcW w:w="60" w:type="dxa"/>
            <w:tcBorders/>
            <w:vAlign w:val="center"/>
          </w:tcPr>
          <w:p>
            <w:pPr>
              <w:pStyle w:val="TableContents"/>
              <w:bidi w:val="0"/>
              <w:spacing w:before="0" w:after="0"/>
              <w:ind w:left="0" w:right="0" w:hanging="0"/>
              <w:jc w:val="both"/>
              <w:rPr/>
            </w:pPr>
            <w:r>
              <w:rPr/>
              <w:t> </w:t>
            </w:r>
          </w:p>
        </w:tc>
        <w:tc>
          <w:tcPr>
            <w:tcW w:w="60" w:type="dxa"/>
            <w:tcBorders/>
            <w:vAlign w:val="center"/>
          </w:tcPr>
          <w:p>
            <w:pPr>
              <w:pStyle w:val="TableContents"/>
              <w:bidi w:val="0"/>
              <w:spacing w:before="0" w:after="0"/>
              <w:ind w:left="0" w:right="0" w:hanging="0"/>
              <w:jc w:val="both"/>
              <w:rPr/>
            </w:pPr>
            <w:r>
              <w:rPr/>
              <w:t> </w:t>
            </w:r>
          </w:p>
        </w:tc>
        <w:tc>
          <w:tcPr>
            <w:tcW w:w="2575" w:type="dxa"/>
            <w:gridSpan w:val="3"/>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Aaron Jagdfeld</w:t>
            </w:r>
          </w:p>
        </w:tc>
      </w:tr>
      <w:tr>
        <w:trPr/>
        <w:tc>
          <w:tcPr>
            <w:tcW w:w="2120" w:type="dxa"/>
            <w:tcBorders/>
            <w:vAlign w:val="center"/>
          </w:tcPr>
          <w:p>
            <w:pPr>
              <w:pStyle w:val="TableContents"/>
              <w:bidi w:val="0"/>
              <w:spacing w:before="0" w:after="0"/>
              <w:ind w:left="0" w:right="0" w:hanging="0"/>
              <w:jc w:val="both"/>
              <w:rPr/>
            </w:pPr>
            <w:r>
              <w:rPr/>
              <w:t> </w:t>
            </w:r>
          </w:p>
        </w:tc>
        <w:tc>
          <w:tcPr>
            <w:tcW w:w="60" w:type="dxa"/>
            <w:tcBorders/>
            <w:vAlign w:val="center"/>
          </w:tcPr>
          <w:p>
            <w:pPr>
              <w:pStyle w:val="TableContents"/>
              <w:bidi w:val="0"/>
              <w:spacing w:before="0" w:after="0"/>
              <w:ind w:left="0" w:right="0" w:hanging="0"/>
              <w:jc w:val="both"/>
              <w:rPr/>
            </w:pPr>
            <w:r>
              <w:rPr/>
              <w:t> </w:t>
            </w:r>
          </w:p>
        </w:tc>
        <w:tc>
          <w:tcPr>
            <w:tcW w:w="60" w:type="dxa"/>
            <w:tcBorders/>
            <w:vAlign w:val="center"/>
          </w:tcPr>
          <w:p>
            <w:pPr>
              <w:pStyle w:val="TableContents"/>
              <w:bidi w:val="0"/>
              <w:spacing w:before="0" w:after="0"/>
              <w:ind w:left="0" w:right="0" w:hanging="0"/>
              <w:jc w:val="both"/>
              <w:rPr/>
            </w:pPr>
            <w:r>
              <w:rPr/>
              <w:t> </w:t>
            </w:r>
          </w:p>
        </w:tc>
        <w:tc>
          <w:tcPr>
            <w:tcW w:w="5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Name:</w:t>
            </w:r>
          </w:p>
        </w:tc>
        <w:tc>
          <w:tcPr>
            <w:tcW w:w="60" w:type="dxa"/>
            <w:tcBorders/>
            <w:vAlign w:val="center"/>
          </w:tcPr>
          <w:p>
            <w:pPr>
              <w:pStyle w:val="TableContents"/>
              <w:bidi w:val="0"/>
              <w:spacing w:before="0" w:after="0"/>
              <w:ind w:left="0" w:right="0" w:hanging="0"/>
              <w:jc w:val="both"/>
              <w:rPr/>
            </w:pPr>
            <w:r>
              <w:rPr/>
              <w:t> </w:t>
            </w:r>
          </w:p>
        </w:tc>
        <w:tc>
          <w:tcPr>
            <w:tcW w:w="19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Aaron Jagdfeld</w:t>
            </w:r>
          </w:p>
        </w:tc>
      </w:tr>
      <w:tr>
        <w:trPr/>
        <w:tc>
          <w:tcPr>
            <w:tcW w:w="2120" w:type="dxa"/>
            <w:tcBorders/>
            <w:vAlign w:val="center"/>
          </w:tcPr>
          <w:p>
            <w:pPr>
              <w:pStyle w:val="TableContents"/>
              <w:bidi w:val="0"/>
              <w:spacing w:before="0" w:after="0"/>
              <w:ind w:left="0" w:right="0" w:hanging="0"/>
              <w:jc w:val="both"/>
              <w:rPr/>
            </w:pPr>
            <w:r>
              <w:rPr/>
              <w:t> </w:t>
            </w:r>
          </w:p>
        </w:tc>
        <w:tc>
          <w:tcPr>
            <w:tcW w:w="60" w:type="dxa"/>
            <w:tcBorders/>
            <w:vAlign w:val="center"/>
          </w:tcPr>
          <w:p>
            <w:pPr>
              <w:pStyle w:val="TableContents"/>
              <w:bidi w:val="0"/>
              <w:spacing w:before="0" w:after="0"/>
              <w:ind w:left="0" w:right="0" w:hanging="0"/>
              <w:jc w:val="both"/>
              <w:rPr/>
            </w:pPr>
            <w:r>
              <w:rPr/>
              <w:t> </w:t>
            </w:r>
          </w:p>
        </w:tc>
        <w:tc>
          <w:tcPr>
            <w:tcW w:w="60" w:type="dxa"/>
            <w:tcBorders/>
            <w:vAlign w:val="center"/>
          </w:tcPr>
          <w:p>
            <w:pPr>
              <w:pStyle w:val="TableContents"/>
              <w:bidi w:val="0"/>
              <w:spacing w:before="0" w:after="0"/>
              <w:ind w:left="0" w:right="0" w:hanging="0"/>
              <w:jc w:val="both"/>
              <w:rPr/>
            </w:pPr>
            <w:r>
              <w:rPr/>
              <w:t> </w:t>
            </w:r>
          </w:p>
        </w:tc>
        <w:tc>
          <w:tcPr>
            <w:tcW w:w="5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60" w:type="dxa"/>
            <w:tcBorders/>
            <w:vAlign w:val="center"/>
          </w:tcPr>
          <w:p>
            <w:pPr>
              <w:pStyle w:val="TableContents"/>
              <w:bidi w:val="0"/>
              <w:spacing w:before="0" w:after="0"/>
              <w:ind w:left="0" w:right="0" w:hanging="0"/>
              <w:jc w:val="both"/>
              <w:rPr/>
            </w:pPr>
            <w:r>
              <w:rPr/>
              <w:t> </w:t>
            </w:r>
          </w:p>
        </w:tc>
        <w:tc>
          <w:tcPr>
            <w:tcW w:w="1970"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Chief Executive Officer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9" w:name="ex_961715.htm"/>
      <w:bookmarkStart w:id="30" w:name="ksex_961715"/>
      <w:bookmarkEnd w:id="29"/>
      <w:bookmarkEnd w:id="30"/>
      <w:r>
        <w:rPr>
          <w:rFonts w:ascii="Times New Roman;Times;serif" w:hAnsi="Times New Roman;Times;serif"/>
          <w:b/>
          <w:sz w:val="20"/>
        </w:rPr>
        <w:t>Exhibit 32.2</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THE CHIEF FINANCIAL OFFICER</w:t>
        <w:br/>
        <w:t>PURSUANT TO 18 U.S.C. SECTION 1350, AS ADOPTED</w:t>
        <w:br/>
        <w:t xml:space="preserve">BY SECTION 906 OF THE SARBANES-OXLEY ACT OF 2002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r>
        <w:rPr>
          <w:rFonts w:ascii="Times New Roman;Times;serif" w:hAnsi="Times New Roman;Times;serif"/>
          <w:sz w:val="20"/>
        </w:rPr>
        <w:t>Pursuant to Section 1350, Chapter 63 of Title 18, United States Code, as adopted by Section 906 of the Sarbanes-Oxley Act of 2002, the undersigned, as Chief Financial Officer of Generac Holdings Inc. (the “Company”), does hereby certify that to my knowledge:</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50"/>
        <w:gridCol w:w="9995"/>
      </w:tblGrid>
      <w:tr>
        <w:trPr/>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9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quarterly report on Form 10-Q for the fiscal quarter ended </w:t>
            </w:r>
            <w:bookmarkStart w:id="31" w:name="led53015F2020771596816846180"/>
            <w:bookmarkEnd w:id="31"/>
            <w:r>
              <w:rPr>
                <w:rFonts w:ascii="Times New Roman;Times;serif" w:hAnsi="Times New Roman;Times;serif"/>
                <w:sz w:val="20"/>
              </w:rPr>
              <w:t>June 30, 2026 fully complies with the requirements of Section 13(a) or 15(d) of the Securities Exchange Act of 1934, as amended;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8"/>
        <w:gridCol w:w="9997"/>
      </w:tblGrid>
      <w:tr>
        <w:trPr/>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99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information contained in the Company's quarterly report on Form 10-Q for the fiscal quarter ended </w:t>
            </w:r>
            <w:bookmarkStart w:id="32" w:name="led53015F20207715968168461801"/>
            <w:bookmarkEnd w:id="32"/>
            <w:r>
              <w:rPr>
                <w:rFonts w:ascii="Times New Roman;Times;serif" w:hAnsi="Times New Roman;Times;serif"/>
                <w:sz w:val="20"/>
              </w:rPr>
              <w:t>June 30, 2026 fairly presents, in all material respects, the financial condition and results of operations of the Company.</w:t>
            </w:r>
          </w:p>
        </w:tc>
      </w:tr>
    </w:tbl>
    <w:p>
      <w:pPr>
        <w:pStyle w:val="TextBody"/>
        <w:bidi w:val="0"/>
        <w:spacing w:before="0" w:after="0"/>
        <w:ind w:left="0" w:right="0" w:hanging="0"/>
        <w:jc w:val="left"/>
        <w:rPr/>
      </w:pPr>
      <w:r>
        <w:rPr/>
        <w:t> </w:t>
      </w:r>
    </w:p>
    <w:p>
      <w:pPr>
        <w:pStyle w:val="TextBody"/>
        <w:bidi w:val="0"/>
        <w:spacing w:before="0" w:after="0"/>
        <w:ind w:left="720" w:right="0" w:hanging="0"/>
        <w:jc w:val="left"/>
        <w:rPr/>
      </w:pPr>
      <w:r>
        <w:rPr/>
        <w:t> </w:t>
      </w:r>
    </w:p>
    <w:p>
      <w:pPr>
        <w:pStyle w:val="TextBody"/>
        <w:bidi w:val="0"/>
        <w:spacing w:before="0" w:after="0"/>
        <w:ind w:left="0" w:right="0" w:hanging="0"/>
        <w:jc w:val="left"/>
        <w:rPr/>
      </w:pPr>
      <w:r>
        <w:rPr/>
        <w:t> </w:t>
      </w:r>
    </w:p>
    <w:tbl>
      <w:tblPr>
        <w:tblW w:w="4785" w:type="dxa"/>
        <w:jc w:val="left"/>
        <w:tblInd w:w="0" w:type="dxa"/>
        <w:tblLayout w:type="fixed"/>
        <w:tblCellMar>
          <w:top w:w="0" w:type="dxa"/>
          <w:left w:w="0" w:type="dxa"/>
          <w:bottom w:w="0" w:type="dxa"/>
          <w:right w:w="0" w:type="dxa"/>
        </w:tblCellMar>
      </w:tblPr>
      <w:tblGrid>
        <w:gridCol w:w="2120"/>
        <w:gridCol w:w="60"/>
        <w:gridCol w:w="60"/>
        <w:gridCol w:w="545"/>
        <w:gridCol w:w="60"/>
        <w:gridCol w:w="1940"/>
      </w:tblGrid>
      <w:tr>
        <w:trPr/>
        <w:tc>
          <w:tcPr>
            <w:tcW w:w="2120" w:type="dxa"/>
            <w:tcBorders/>
            <w:vAlign w:val="center"/>
          </w:tcPr>
          <w:p>
            <w:pPr>
              <w:pStyle w:val="TableContents"/>
              <w:bidi w:val="0"/>
              <w:spacing w:before="0" w:after="283"/>
              <w:jc w:val="left"/>
              <w:rPr/>
            </w:pPr>
            <w:r>
              <w:rPr/>
              <w:t>Date:  August 4, 2026</w:t>
            </w:r>
          </w:p>
        </w:tc>
        <w:tc>
          <w:tcPr>
            <w:tcW w:w="60" w:type="dxa"/>
            <w:tcBorders/>
            <w:vAlign w:val="center"/>
          </w:tcPr>
          <w:p>
            <w:pPr>
              <w:pStyle w:val="TableContents"/>
              <w:bidi w:val="0"/>
              <w:spacing w:before="0" w:after="0"/>
              <w:ind w:left="0" w:right="0" w:hanging="0"/>
              <w:jc w:val="both"/>
              <w:rPr/>
            </w:pPr>
            <w:r>
              <w:rPr/>
              <w:t> </w:t>
            </w:r>
          </w:p>
        </w:tc>
        <w:tc>
          <w:tcPr>
            <w:tcW w:w="60" w:type="dxa"/>
            <w:tcBorders/>
            <w:vAlign w:val="center"/>
          </w:tcPr>
          <w:p>
            <w:pPr>
              <w:pStyle w:val="TableContents"/>
              <w:bidi w:val="0"/>
              <w:spacing w:before="0" w:after="0"/>
              <w:ind w:left="0" w:right="0" w:hanging="0"/>
              <w:jc w:val="both"/>
              <w:rPr/>
            </w:pPr>
            <w:r>
              <w:rPr/>
              <w:t> </w:t>
            </w:r>
          </w:p>
        </w:tc>
        <w:tc>
          <w:tcPr>
            <w:tcW w:w="2545" w:type="dxa"/>
            <w:gridSpan w:val="3"/>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York A. Ragen</w:t>
            </w:r>
          </w:p>
        </w:tc>
      </w:tr>
      <w:tr>
        <w:trPr/>
        <w:tc>
          <w:tcPr>
            <w:tcW w:w="2120" w:type="dxa"/>
            <w:tcBorders/>
            <w:vAlign w:val="center"/>
          </w:tcPr>
          <w:p>
            <w:pPr>
              <w:pStyle w:val="TableContents"/>
              <w:bidi w:val="0"/>
              <w:spacing w:before="0" w:after="0"/>
              <w:ind w:left="0" w:right="0" w:hanging="0"/>
              <w:jc w:val="both"/>
              <w:rPr/>
            </w:pPr>
            <w:r>
              <w:rPr/>
              <w:t> </w:t>
            </w:r>
          </w:p>
        </w:tc>
        <w:tc>
          <w:tcPr>
            <w:tcW w:w="60" w:type="dxa"/>
            <w:tcBorders/>
            <w:vAlign w:val="center"/>
          </w:tcPr>
          <w:p>
            <w:pPr>
              <w:pStyle w:val="TableContents"/>
              <w:bidi w:val="0"/>
              <w:spacing w:before="0" w:after="0"/>
              <w:ind w:left="0" w:right="0" w:hanging="0"/>
              <w:jc w:val="both"/>
              <w:rPr/>
            </w:pPr>
            <w:r>
              <w:rPr/>
              <w:t> </w:t>
            </w:r>
          </w:p>
        </w:tc>
        <w:tc>
          <w:tcPr>
            <w:tcW w:w="60" w:type="dxa"/>
            <w:tcBorders/>
            <w:vAlign w:val="center"/>
          </w:tcPr>
          <w:p>
            <w:pPr>
              <w:pStyle w:val="TableContents"/>
              <w:bidi w:val="0"/>
              <w:spacing w:before="0" w:after="0"/>
              <w:ind w:left="0" w:right="0" w:hanging="0"/>
              <w:jc w:val="both"/>
              <w:rPr/>
            </w:pPr>
            <w:r>
              <w:rPr/>
              <w:t> </w:t>
            </w:r>
          </w:p>
        </w:tc>
        <w:tc>
          <w:tcPr>
            <w:tcW w:w="5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Name:</w:t>
            </w:r>
          </w:p>
        </w:tc>
        <w:tc>
          <w:tcPr>
            <w:tcW w:w="60" w:type="dxa"/>
            <w:tcBorders/>
            <w:vAlign w:val="center"/>
          </w:tcPr>
          <w:p>
            <w:pPr>
              <w:pStyle w:val="TableContents"/>
              <w:bidi w:val="0"/>
              <w:spacing w:before="0" w:after="0"/>
              <w:ind w:left="0" w:right="0" w:hanging="0"/>
              <w:jc w:val="both"/>
              <w:rPr/>
            </w:pPr>
            <w:r>
              <w:rPr/>
              <w:t> </w:t>
            </w:r>
          </w:p>
        </w:tc>
        <w:tc>
          <w:tcPr>
            <w:tcW w:w="194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York A. Ragen</w:t>
            </w:r>
          </w:p>
        </w:tc>
      </w:tr>
      <w:tr>
        <w:trPr/>
        <w:tc>
          <w:tcPr>
            <w:tcW w:w="2120" w:type="dxa"/>
            <w:tcBorders/>
            <w:vAlign w:val="center"/>
          </w:tcPr>
          <w:p>
            <w:pPr>
              <w:pStyle w:val="TableContents"/>
              <w:bidi w:val="0"/>
              <w:spacing w:before="0" w:after="0"/>
              <w:ind w:left="0" w:right="0" w:hanging="0"/>
              <w:jc w:val="both"/>
              <w:rPr/>
            </w:pPr>
            <w:r>
              <w:rPr/>
              <w:t> </w:t>
            </w:r>
          </w:p>
        </w:tc>
        <w:tc>
          <w:tcPr>
            <w:tcW w:w="60" w:type="dxa"/>
            <w:tcBorders/>
            <w:vAlign w:val="center"/>
          </w:tcPr>
          <w:p>
            <w:pPr>
              <w:pStyle w:val="TableContents"/>
              <w:bidi w:val="0"/>
              <w:spacing w:before="0" w:after="0"/>
              <w:ind w:left="0" w:right="0" w:hanging="0"/>
              <w:jc w:val="both"/>
              <w:rPr/>
            </w:pPr>
            <w:r>
              <w:rPr/>
              <w:t> </w:t>
            </w:r>
          </w:p>
        </w:tc>
        <w:tc>
          <w:tcPr>
            <w:tcW w:w="60" w:type="dxa"/>
            <w:tcBorders/>
            <w:vAlign w:val="center"/>
          </w:tcPr>
          <w:p>
            <w:pPr>
              <w:pStyle w:val="TableContents"/>
              <w:bidi w:val="0"/>
              <w:spacing w:before="0" w:after="0"/>
              <w:ind w:left="0" w:right="0" w:hanging="0"/>
              <w:jc w:val="both"/>
              <w:rPr/>
            </w:pPr>
            <w:r>
              <w:rPr/>
              <w:t> </w:t>
            </w:r>
          </w:p>
        </w:tc>
        <w:tc>
          <w:tcPr>
            <w:tcW w:w="5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60" w:type="dxa"/>
            <w:tcBorders/>
            <w:vAlign w:val="center"/>
          </w:tcPr>
          <w:p>
            <w:pPr>
              <w:pStyle w:val="TableContents"/>
              <w:bidi w:val="0"/>
              <w:spacing w:before="0" w:after="0"/>
              <w:ind w:left="0" w:right="0" w:hanging="0"/>
              <w:jc w:val="both"/>
              <w:rPr/>
            </w:pPr>
            <w:r>
              <w:rPr/>
              <w:t> </w:t>
            </w:r>
          </w:p>
        </w:tc>
        <w:tc>
          <w:tcPr>
            <w:tcW w:w="1940"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Chief Financial Officer</w:t>
            </w:r>
          </w:p>
        </w:tc>
      </w:tr>
    </w:tbl>
    <w:p>
      <w:pPr>
        <w:pStyle w:val="TextBody"/>
        <w:bidi w:val="0"/>
        <w:spacing w:before="0" w:after="0"/>
        <w:ind w:left="0" w:right="0" w:hanging="0"/>
        <w:jc w:val="both"/>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27546</Words>
  <Characters>153643</Characters>
  <CharactersWithSpaces>185544</CharactersWithSpaces>
  <Paragraphs>11281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