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36"/>
        </w:rPr>
      </w:pPr>
      <w:bookmarkStart w:id="0" w:name="gnrc20260612_8k.htm"/>
      <w:bookmarkStart w:id="1" w:name="ksgnrc20260612_8k"/>
      <w:bookmarkEnd w:id="0"/>
      <w:bookmarkEnd w:id="1"/>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Generac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11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001-34627</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20-5654756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S45 W29290 Hwy 59</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Waukesha, Wisconsin</w:t>
            </w:r>
          </w:p>
        </w:tc>
        <w:tc>
          <w:tcPr>
            <w:tcW w:w="92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53189</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(262) 544-4811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28" w:type="dxa"/>
          <w:left w:w="28" w:type="dxa"/>
          <w:bottom w:w="28" w:type="dxa"/>
          <w:right w:w="0" w:type="dxa"/>
        </w:tblCellMar>
      </w:tblPr>
      <w:tblGrid>
        <w:gridCol w:w="2735"/>
        <w:gridCol w:w="1535"/>
        <w:gridCol w:w="3590"/>
      </w:tblGrid>
      <w:tr>
        <w:trPr/>
        <w:tc>
          <w:tcPr>
            <w:tcW w:w="27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27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 $0.01 par value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GNRC</w:t>
            </w:r>
          </w:p>
        </w:tc>
        <w:tc>
          <w:tcPr>
            <w:tcW w:w="359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2026 annual meeting of stockholders of Generac Holdings Inc. (the “Company”), the Company’s stockholders (1) elected each of the Company’s director nominees listed below for a three-year term; (2) ratified the appointment of Deloitte &amp; Touche LLP as the Company’s independent registered public accounting firm for the year ending December 31, 2026; and (3) approved on an advisory, non-binding basis, the compensation of the Company’s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Proposal No.1 —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745"/>
        <w:gridCol w:w="950"/>
        <w:gridCol w:w="845"/>
        <w:gridCol w:w="665"/>
        <w:gridCol w:w="1565"/>
      </w:tblGrid>
      <w:tr>
        <w:trPr/>
        <w:tc>
          <w:tcPr>
            <w:tcW w:w="17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8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Marcia J. Avedon</w:t>
            </w:r>
          </w:p>
        </w:tc>
        <w:tc>
          <w:tcPr>
            <w:tcW w:w="95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42,473,392</w:t>
            </w:r>
          </w:p>
        </w:tc>
        <w:tc>
          <w:tcPr>
            <w:tcW w:w="8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3,741,410</w:t>
            </w:r>
          </w:p>
        </w:tc>
        <w:tc>
          <w:tcPr>
            <w:tcW w:w="6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69,775</w:t>
            </w:r>
          </w:p>
        </w:tc>
        <w:tc>
          <w:tcPr>
            <w:tcW w:w="15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5,404,286</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Bennett J. Morgan</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38,517,771</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7,728,519</w:t>
            </w:r>
          </w:p>
        </w:tc>
        <w:tc>
          <w:tcPr>
            <w:tcW w:w="6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38,287</w:t>
            </w:r>
          </w:p>
        </w:tc>
        <w:tc>
          <w:tcPr>
            <w:tcW w:w="15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5,404,286</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Dominick P. Zarcone</w:t>
            </w:r>
          </w:p>
        </w:tc>
        <w:tc>
          <w:tcPr>
            <w:tcW w:w="95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43,058,885</w:t>
            </w:r>
          </w:p>
        </w:tc>
        <w:tc>
          <w:tcPr>
            <w:tcW w:w="8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3,186,823</w:t>
            </w:r>
          </w:p>
        </w:tc>
        <w:tc>
          <w:tcPr>
            <w:tcW w:w="6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38,869</w:t>
            </w:r>
          </w:p>
        </w:tc>
        <w:tc>
          <w:tcPr>
            <w:tcW w:w="15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5,404,286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Proposal No.2 — Ratification of the Appointment of Deloitte &amp; Touche, LLP </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965"/>
        <w:gridCol w:w="695"/>
        <w:gridCol w:w="665"/>
        <w:gridCol w:w="1565"/>
      </w:tblGrid>
      <w:tr>
        <w:trPr/>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50,925,956</w:t>
            </w:r>
          </w:p>
        </w:tc>
        <w:tc>
          <w:tcPr>
            <w:tcW w:w="6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723,483</w:t>
            </w:r>
          </w:p>
        </w:tc>
        <w:tc>
          <w:tcPr>
            <w:tcW w:w="6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39,424</w:t>
            </w:r>
          </w:p>
        </w:tc>
        <w:tc>
          <w:tcPr>
            <w:tcW w:w="15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Proposal No.3 — Advisory Vote on Executive Compensation </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965"/>
        <w:gridCol w:w="845"/>
        <w:gridCol w:w="665"/>
        <w:gridCol w:w="1565"/>
      </w:tblGrid>
      <w:tr>
        <w:trPr/>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8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43,841,064</w:t>
            </w:r>
          </w:p>
        </w:tc>
        <w:tc>
          <w:tcPr>
            <w:tcW w:w="8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2,373,481</w:t>
            </w:r>
          </w:p>
        </w:tc>
        <w:tc>
          <w:tcPr>
            <w:tcW w:w="6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70,032</w:t>
            </w:r>
          </w:p>
        </w:tc>
        <w:tc>
          <w:tcPr>
            <w:tcW w:w="15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5,404,286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1355"/>
        <w:gridCol w:w="365"/>
        <w:gridCol w:w="3380"/>
        <w:gridCol w:w="23"/>
      </w:tblGrid>
      <w:tr>
        <w:trPr/>
        <w:tc>
          <w:tcPr>
            <w:tcW w:w="1355" w:type="dxa"/>
            <w:tcBorders/>
          </w:tcPr>
          <w:p>
            <w:pPr>
              <w:pStyle w:val="TableContents"/>
              <w:bidi w:val="0"/>
              <w:spacing w:before="0" w:after="283"/>
              <w:jc w:val="left"/>
              <w:rPr/>
            </w:pPr>
            <w:r>
              <w:rPr/>
              <w:t>June 12, 2026</w:t>
            </w:r>
          </w:p>
        </w:tc>
        <w:tc>
          <w:tcPr>
            <w:tcW w:w="3745" w:type="dxa"/>
            <w:gridSpan w:val="2"/>
            <w:tcBorders/>
          </w:tcPr>
          <w:p>
            <w:pPr>
              <w:pStyle w:val="TableContents"/>
              <w:bidi w:val="0"/>
              <w:spacing w:before="0" w:after="283"/>
              <w:jc w:val="left"/>
              <w:rPr/>
            </w:pPr>
            <w:r>
              <w:rPr/>
              <w:t>GENERAC HOLDINGS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35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380" w:type="dxa"/>
            <w:tcBorders/>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35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8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Raj Kanuru</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35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380" w:type="dxa"/>
            <w:tcBorders/>
          </w:tcPr>
          <w:p>
            <w:pPr>
              <w:pStyle w:val="TableContents"/>
              <w:bidi w:val="0"/>
              <w:spacing w:before="0" w:after="283"/>
              <w:jc w:val="left"/>
              <w:rPr/>
            </w:pPr>
            <w:r>
              <w:rPr/>
              <w:t>Raj Kanuru</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35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380" w:type="dxa"/>
            <w:tcBorders/>
          </w:tcPr>
          <w:p>
            <w:pPr>
              <w:pStyle w:val="TableContents"/>
              <w:bidi w:val="0"/>
              <w:spacing w:before="0" w:after="283"/>
              <w:jc w:val="left"/>
              <w:rPr/>
            </w:pPr>
            <w:r>
              <w:rPr/>
              <w:t>EVP, General Counsel &amp; Secretary</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pPr>
      <w:r>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478</Words>
  <Characters>2687</Characters>
  <CharactersWithSpaces>3116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