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Raabe Kyle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Home Power Gen.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4"/>
        <w:gridCol w:w="919"/>
        <w:gridCol w:w="787"/>
        <w:gridCol w:w="662"/>
        <w:gridCol w:w="297"/>
        <w:gridCol w:w="797"/>
        <w:gridCol w:w="447"/>
        <w:gridCol w:w="942"/>
        <w:gridCol w:w="1159"/>
        <w:gridCol w:w="997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213.35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10,746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2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102.415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10,959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2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213.35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10,746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102.415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05-05-2026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Multiple lots for the same price for this order have been combined.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has a graded vesting schedule. Date Exercisable will vary for each vesting tranche.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1000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3449</Characters>
  <CharactersWithSpaces>3992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